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824AD" w14:textId="328938D0" w:rsidR="00426F5A" w:rsidRDefault="00426F5A" w:rsidP="00426F5A">
      <w:pPr>
        <w:rPr>
          <w:lang w:val="en-US" w:bidi="en-US"/>
        </w:rPr>
      </w:pP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280D5DA3" w14:textId="18DE1909" w:rsidR="003B6FA1" w:rsidRDefault="00043EB7" w:rsidP="00AD1A69">
      <w:pPr>
        <w:pStyle w:val="Heading1"/>
      </w:pPr>
      <w:r>
        <w:t xml:space="preserve">People </w:t>
      </w:r>
      <w:r w:rsidR="00234A9D">
        <w:t>Committee</w:t>
      </w:r>
    </w:p>
    <w:p w14:paraId="24B1D5B7" w14:textId="05AF3687" w:rsidR="009233C9" w:rsidRDefault="004B54E7" w:rsidP="004B54E7">
      <w:pPr>
        <w:jc w:val="center"/>
        <w:rPr>
          <w:sz w:val="24"/>
          <w:szCs w:val="24"/>
        </w:rPr>
      </w:pPr>
      <w:r w:rsidRPr="004B54E7">
        <w:rPr>
          <w:sz w:val="24"/>
          <w:szCs w:val="24"/>
        </w:rPr>
        <w:t xml:space="preserve">A </w:t>
      </w:r>
      <w:r w:rsidR="00EE1CEC">
        <w:rPr>
          <w:sz w:val="24"/>
          <w:szCs w:val="24"/>
        </w:rPr>
        <w:t>C</w:t>
      </w:r>
      <w:r w:rsidRPr="004B54E7">
        <w:rPr>
          <w:sz w:val="24"/>
          <w:szCs w:val="24"/>
        </w:rPr>
        <w:t>ommittee of the Combined Board</w:t>
      </w:r>
      <w:r w:rsidR="009233C9">
        <w:rPr>
          <w:sz w:val="24"/>
          <w:szCs w:val="24"/>
        </w:rPr>
        <w:t>,</w:t>
      </w:r>
    </w:p>
    <w:p w14:paraId="2AFE0F49" w14:textId="76285BAB" w:rsidR="004B54E7" w:rsidRPr="004B54E7" w:rsidRDefault="004B54E7" w:rsidP="009233C9">
      <w:pPr>
        <w:jc w:val="center"/>
        <w:rPr>
          <w:sz w:val="24"/>
          <w:szCs w:val="24"/>
          <w:lang w:val="en-US" w:bidi="en-US"/>
        </w:rPr>
      </w:pPr>
      <w:r w:rsidRPr="004B54E7">
        <w:rPr>
          <w:sz w:val="24"/>
          <w:szCs w:val="24"/>
        </w:rPr>
        <w:t>providing assurance on workforce health, sustainability, and compliance.</w:t>
      </w:r>
    </w:p>
    <w:p w14:paraId="180EF2CC" w14:textId="77777777" w:rsidR="001870DD" w:rsidRDefault="003B6FA1" w:rsidP="00AD1A69">
      <w:pPr>
        <w:pStyle w:val="Heading1"/>
      </w:pPr>
      <w:r>
        <w:t>Terms of Reference</w:t>
      </w:r>
    </w:p>
    <w:p w14:paraId="592AF153" w14:textId="2B027353" w:rsidR="00426F5A" w:rsidRPr="00201C81" w:rsidRDefault="004907AF" w:rsidP="00AD1A69">
      <w:pPr>
        <w:pStyle w:val="Heading1"/>
      </w:pPr>
      <w:r>
        <w:t>(TOR)</w:t>
      </w:r>
    </w:p>
    <w:p w14:paraId="5F78E41A"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988"/>
        <w:gridCol w:w="4110"/>
        <w:gridCol w:w="2127"/>
        <w:gridCol w:w="1842"/>
      </w:tblGrid>
      <w:tr w:rsidR="0077433A" w:rsidRPr="00FF4507" w14:paraId="168086B6" w14:textId="09E916A8" w:rsidTr="00590246">
        <w:trPr>
          <w:trHeight w:val="401"/>
        </w:trPr>
        <w:tc>
          <w:tcPr>
            <w:tcW w:w="988" w:type="dxa"/>
            <w:shd w:val="clear" w:color="auto" w:fill="007777" w:themeFill="accent1"/>
            <w:vAlign w:val="center"/>
          </w:tcPr>
          <w:p w14:paraId="57420C1B" w14:textId="0CA563EF" w:rsidR="0077433A" w:rsidRPr="00FF4507" w:rsidRDefault="0077433A" w:rsidP="003B7015">
            <w:pPr>
              <w:rPr>
                <w:b/>
                <w:color w:val="FFFFFF" w:themeColor="background1"/>
                <w:sz w:val="20"/>
                <w:szCs w:val="18"/>
              </w:rPr>
            </w:pPr>
            <w:r w:rsidRPr="00FF4507">
              <w:rPr>
                <w:b/>
                <w:color w:val="FFFFFF" w:themeColor="background1"/>
                <w:sz w:val="20"/>
                <w:szCs w:val="18"/>
              </w:rPr>
              <w:t>Version</w:t>
            </w:r>
          </w:p>
        </w:tc>
        <w:tc>
          <w:tcPr>
            <w:tcW w:w="4110" w:type="dxa"/>
            <w:shd w:val="clear" w:color="auto" w:fill="007777" w:themeFill="accent1"/>
            <w:vAlign w:val="center"/>
          </w:tcPr>
          <w:p w14:paraId="1BD75B5A" w14:textId="52CFE588" w:rsidR="0077433A" w:rsidRPr="00FF4507" w:rsidRDefault="0077433A" w:rsidP="003B7015">
            <w:pPr>
              <w:rPr>
                <w:b/>
                <w:color w:val="FFFFFF" w:themeColor="background1"/>
                <w:sz w:val="20"/>
                <w:szCs w:val="18"/>
              </w:rPr>
            </w:pPr>
            <w:r w:rsidRPr="00FF4507">
              <w:rPr>
                <w:b/>
                <w:color w:val="FFFFFF" w:themeColor="background1"/>
                <w:sz w:val="20"/>
                <w:szCs w:val="18"/>
              </w:rPr>
              <w:t>Owner</w:t>
            </w:r>
          </w:p>
        </w:tc>
        <w:tc>
          <w:tcPr>
            <w:tcW w:w="2127" w:type="dxa"/>
            <w:shd w:val="clear" w:color="auto" w:fill="007777" w:themeFill="accent1"/>
            <w:vAlign w:val="center"/>
          </w:tcPr>
          <w:p w14:paraId="2FD8429E" w14:textId="35D43FB1" w:rsidR="0077433A" w:rsidRPr="00FF4507" w:rsidRDefault="0077433A" w:rsidP="003B7015">
            <w:pPr>
              <w:rPr>
                <w:b/>
                <w:bCs/>
                <w:color w:val="FFFFFF" w:themeColor="background1"/>
                <w:sz w:val="20"/>
                <w:szCs w:val="18"/>
              </w:rPr>
            </w:pPr>
            <w:r>
              <w:rPr>
                <w:b/>
                <w:bCs/>
                <w:color w:val="FFFFFF" w:themeColor="background1"/>
                <w:sz w:val="20"/>
                <w:szCs w:val="18"/>
              </w:rPr>
              <w:t>Date Approved</w:t>
            </w:r>
            <w:r w:rsidR="00590246">
              <w:rPr>
                <w:b/>
                <w:bCs/>
                <w:color w:val="FFFFFF" w:themeColor="background1"/>
                <w:sz w:val="20"/>
                <w:szCs w:val="18"/>
              </w:rPr>
              <w:t xml:space="preserve"> by Combined Board</w:t>
            </w:r>
          </w:p>
        </w:tc>
        <w:tc>
          <w:tcPr>
            <w:tcW w:w="1842" w:type="dxa"/>
            <w:shd w:val="clear" w:color="auto" w:fill="007777" w:themeFill="accent1"/>
            <w:vAlign w:val="center"/>
          </w:tcPr>
          <w:p w14:paraId="4E16D4EA" w14:textId="12B417BB" w:rsidR="0077433A" w:rsidRPr="0077433A" w:rsidRDefault="0077433A" w:rsidP="0077433A">
            <w:pPr>
              <w:jc w:val="center"/>
              <w:rPr>
                <w:b/>
                <w:bCs/>
                <w:color w:val="FFFFFF" w:themeColor="background1"/>
                <w:sz w:val="20"/>
                <w:szCs w:val="18"/>
              </w:rPr>
            </w:pPr>
            <w:r w:rsidRPr="0077433A">
              <w:rPr>
                <w:b/>
                <w:color w:val="FFFFFF" w:themeColor="background1"/>
                <w:sz w:val="20"/>
                <w:szCs w:val="18"/>
              </w:rPr>
              <w:t xml:space="preserve">Review </w:t>
            </w:r>
            <w:r>
              <w:rPr>
                <w:b/>
                <w:color w:val="FFFFFF" w:themeColor="background1"/>
                <w:sz w:val="20"/>
                <w:szCs w:val="18"/>
              </w:rPr>
              <w:t>D</w:t>
            </w:r>
            <w:r w:rsidRPr="0077433A">
              <w:rPr>
                <w:b/>
                <w:color w:val="FFFFFF" w:themeColor="background1"/>
                <w:sz w:val="20"/>
                <w:szCs w:val="18"/>
              </w:rPr>
              <w:t>ate</w:t>
            </w:r>
          </w:p>
        </w:tc>
      </w:tr>
      <w:tr w:rsidR="0077433A" w:rsidRPr="00FF4507" w14:paraId="153AC683" w14:textId="5CF30373" w:rsidTr="00590246">
        <w:trPr>
          <w:trHeight w:val="846"/>
        </w:trPr>
        <w:tc>
          <w:tcPr>
            <w:tcW w:w="988" w:type="dxa"/>
            <w:shd w:val="clear" w:color="auto" w:fill="FFFFFF" w:themeFill="background1"/>
            <w:vAlign w:val="center"/>
          </w:tcPr>
          <w:p w14:paraId="5BBCA964" w14:textId="790A0C3E" w:rsidR="0077433A" w:rsidRPr="00FF4507" w:rsidRDefault="000569FB" w:rsidP="00AD1A69">
            <w:pPr>
              <w:rPr>
                <w:sz w:val="20"/>
                <w:szCs w:val="20"/>
                <w:lang w:val="en-US" w:bidi="en-US"/>
              </w:rPr>
            </w:pPr>
            <w:r>
              <w:rPr>
                <w:sz w:val="20"/>
                <w:szCs w:val="20"/>
                <w:lang w:val="en-US" w:bidi="en-US"/>
              </w:rPr>
              <w:t>4</w:t>
            </w:r>
            <w:r w:rsidR="0077433A" w:rsidRPr="00FF4507">
              <w:rPr>
                <w:sz w:val="20"/>
                <w:szCs w:val="20"/>
                <w:lang w:val="en-US" w:bidi="en-US"/>
              </w:rPr>
              <w:t>.</w:t>
            </w:r>
            <w:r w:rsidR="0052478D">
              <w:rPr>
                <w:sz w:val="20"/>
                <w:szCs w:val="20"/>
                <w:lang w:val="en-US" w:bidi="en-US"/>
              </w:rPr>
              <w:t>1</w:t>
            </w:r>
          </w:p>
        </w:tc>
        <w:tc>
          <w:tcPr>
            <w:tcW w:w="4110" w:type="dxa"/>
            <w:shd w:val="clear" w:color="auto" w:fill="FFFFFF" w:themeFill="background1"/>
            <w:vAlign w:val="center"/>
          </w:tcPr>
          <w:p w14:paraId="49D02FFD" w14:textId="77777777" w:rsidR="0077433A" w:rsidRDefault="0077433A" w:rsidP="00AD1A69">
            <w:pPr>
              <w:rPr>
                <w:sz w:val="20"/>
                <w:szCs w:val="20"/>
              </w:rPr>
            </w:pPr>
            <w:r>
              <w:rPr>
                <w:sz w:val="20"/>
                <w:szCs w:val="20"/>
              </w:rPr>
              <w:t>Sandra Meadows</w:t>
            </w:r>
          </w:p>
          <w:p w14:paraId="6FBB40C9" w14:textId="52CDDE8A" w:rsidR="0077433A" w:rsidRPr="00FF4507" w:rsidRDefault="0077433A" w:rsidP="00AD1A69">
            <w:pPr>
              <w:rPr>
                <w:sz w:val="20"/>
                <w:szCs w:val="20"/>
              </w:rPr>
            </w:pPr>
            <w:r>
              <w:rPr>
                <w:sz w:val="20"/>
                <w:szCs w:val="20"/>
              </w:rPr>
              <w:t>Non-Executive Director</w:t>
            </w:r>
          </w:p>
        </w:tc>
        <w:tc>
          <w:tcPr>
            <w:tcW w:w="2127" w:type="dxa"/>
            <w:shd w:val="clear" w:color="auto" w:fill="FFFFFF" w:themeFill="background1"/>
            <w:vAlign w:val="center"/>
          </w:tcPr>
          <w:p w14:paraId="7DB14897" w14:textId="11BD26CB" w:rsidR="0077433A" w:rsidRPr="00FF4507" w:rsidRDefault="00140890" w:rsidP="00AD1A69">
            <w:pPr>
              <w:rPr>
                <w:sz w:val="20"/>
                <w:szCs w:val="20"/>
              </w:rPr>
            </w:pPr>
            <w:r>
              <w:rPr>
                <w:sz w:val="20"/>
                <w:szCs w:val="20"/>
              </w:rPr>
              <w:t>05/02/2026</w:t>
            </w:r>
          </w:p>
        </w:tc>
        <w:tc>
          <w:tcPr>
            <w:tcW w:w="1842" w:type="dxa"/>
            <w:shd w:val="clear" w:color="auto" w:fill="FFFFFF" w:themeFill="background1"/>
          </w:tcPr>
          <w:p w14:paraId="5045EEB6" w14:textId="77777777" w:rsidR="00590246" w:rsidRDefault="00590246" w:rsidP="00AD1A69">
            <w:pPr>
              <w:rPr>
                <w:sz w:val="20"/>
                <w:szCs w:val="20"/>
              </w:rPr>
            </w:pPr>
          </w:p>
          <w:p w14:paraId="71D848F0" w14:textId="387E5681" w:rsidR="00140890" w:rsidRPr="00FF4507" w:rsidRDefault="00140890" w:rsidP="00AD1A69">
            <w:pPr>
              <w:rPr>
                <w:sz w:val="20"/>
                <w:szCs w:val="20"/>
              </w:rPr>
            </w:pPr>
            <w:r>
              <w:rPr>
                <w:sz w:val="20"/>
                <w:szCs w:val="20"/>
              </w:rPr>
              <w:t>05/02/2027</w:t>
            </w:r>
          </w:p>
        </w:tc>
      </w:tr>
    </w:tbl>
    <w:p w14:paraId="579E697C" w14:textId="77777777" w:rsidR="00140890" w:rsidRDefault="00426F5A" w:rsidP="00426F5A">
      <w:pPr>
        <w:spacing w:after="0"/>
      </w:pPr>
      <w:r>
        <w:br w:type="page"/>
      </w:r>
    </w:p>
    <w:p w14:paraId="7BF9F56D" w14:textId="0649C886" w:rsidR="00426F5A" w:rsidRDefault="00426F5A" w:rsidP="00426F5A">
      <w:pPr>
        <w:spacing w:after="0"/>
      </w:pPr>
    </w:p>
    <w:p w14:paraId="3BC7CE00" w14:textId="77777777" w:rsidR="009233C9" w:rsidRDefault="009233C9" w:rsidP="00AD1A69">
      <w:pPr>
        <w:pStyle w:val="Heading1"/>
      </w:pPr>
    </w:p>
    <w:p w14:paraId="3F4959A6" w14:textId="277B2F06" w:rsidR="002358A6" w:rsidRPr="00F647F7" w:rsidRDefault="002358A6" w:rsidP="00AD1A69">
      <w:pPr>
        <w:pStyle w:val="Heading1"/>
      </w:pPr>
      <w:r w:rsidRPr="00F647F7">
        <w:t>Contents</w:t>
      </w:r>
    </w:p>
    <w:p w14:paraId="7C01034D" w14:textId="77777777" w:rsidR="003B7015" w:rsidRPr="003B7015" w:rsidRDefault="003B7015" w:rsidP="003B7015">
      <w:pPr>
        <w:rPr>
          <w:lang w:val="en-US" w:bidi="en-US"/>
        </w:rPr>
      </w:pPr>
    </w:p>
    <w:p w14:paraId="2B2B3DEA" w14:textId="3ECA71EF" w:rsidR="001D1217" w:rsidRDefault="006916B2">
      <w:pPr>
        <w:pStyle w:val="TOC1"/>
        <w:tabs>
          <w:tab w:val="right" w:leader="dot" w:pos="9346"/>
        </w:tabs>
        <w:rPr>
          <w:rFonts w:eastAsiaTheme="minorEastAsia" w:cstheme="minorBidi"/>
          <w:b w:val="0"/>
          <w:bCs w:val="0"/>
          <w:noProof/>
          <w:color w:val="auto"/>
          <w:kern w:val="2"/>
          <w:szCs w:val="24"/>
          <w:lang w:eastAsia="en-GB"/>
          <w14:ligatures w14:val="standardContextual"/>
        </w:rPr>
      </w:pPr>
      <w:r w:rsidRPr="00F647F7">
        <w:rPr>
          <w:rFonts w:cs="Arial"/>
          <w:b w:val="0"/>
          <w:bCs w:val="0"/>
          <w:i/>
          <w:iCs/>
          <w:color w:val="auto"/>
          <w:sz w:val="28"/>
          <w:szCs w:val="28"/>
        </w:rPr>
        <w:fldChar w:fldCharType="begin"/>
      </w:r>
      <w:r w:rsidRPr="00F647F7">
        <w:rPr>
          <w:rFonts w:cs="Arial"/>
          <w:b w:val="0"/>
          <w:bCs w:val="0"/>
          <w:i/>
          <w:iCs/>
          <w:color w:val="auto"/>
          <w:sz w:val="28"/>
          <w:szCs w:val="28"/>
        </w:rPr>
        <w:instrText xml:space="preserve"> TOC \h \z \u \t "Heading 2,1" </w:instrText>
      </w:r>
      <w:r w:rsidRPr="00F647F7">
        <w:rPr>
          <w:rFonts w:cs="Arial"/>
          <w:b w:val="0"/>
          <w:bCs w:val="0"/>
          <w:i/>
          <w:iCs/>
          <w:color w:val="auto"/>
          <w:sz w:val="28"/>
          <w:szCs w:val="28"/>
        </w:rPr>
        <w:fldChar w:fldCharType="separate"/>
      </w:r>
      <w:hyperlink w:anchor="_Toc211602317" w:history="1">
        <w:r w:rsidR="001D1217" w:rsidRPr="00DA41E6">
          <w:rPr>
            <w:rStyle w:val="Hyperlink"/>
            <w:noProof/>
          </w:rPr>
          <w:t>Purpose</w:t>
        </w:r>
        <w:r w:rsidR="001D1217">
          <w:rPr>
            <w:noProof/>
            <w:webHidden/>
          </w:rPr>
          <w:tab/>
        </w:r>
        <w:r w:rsidR="001D1217">
          <w:rPr>
            <w:noProof/>
            <w:webHidden/>
          </w:rPr>
          <w:fldChar w:fldCharType="begin"/>
        </w:r>
        <w:r w:rsidR="001D1217">
          <w:rPr>
            <w:noProof/>
            <w:webHidden/>
          </w:rPr>
          <w:instrText xml:space="preserve"> PAGEREF _Toc211602317 \h </w:instrText>
        </w:r>
        <w:r w:rsidR="001D1217">
          <w:rPr>
            <w:noProof/>
            <w:webHidden/>
          </w:rPr>
        </w:r>
        <w:r w:rsidR="001D1217">
          <w:rPr>
            <w:noProof/>
            <w:webHidden/>
          </w:rPr>
          <w:fldChar w:fldCharType="separate"/>
        </w:r>
        <w:r w:rsidR="001D1217">
          <w:rPr>
            <w:noProof/>
            <w:webHidden/>
          </w:rPr>
          <w:t>3</w:t>
        </w:r>
        <w:r w:rsidR="001D1217">
          <w:rPr>
            <w:noProof/>
            <w:webHidden/>
          </w:rPr>
          <w:fldChar w:fldCharType="end"/>
        </w:r>
      </w:hyperlink>
    </w:p>
    <w:p w14:paraId="34F2FA86" w14:textId="46364904" w:rsidR="001D1217" w:rsidRDefault="001D1217">
      <w:pPr>
        <w:pStyle w:val="TOC1"/>
        <w:tabs>
          <w:tab w:val="right" w:leader="dot" w:pos="9346"/>
        </w:tabs>
        <w:rPr>
          <w:rFonts w:eastAsiaTheme="minorEastAsia" w:cstheme="minorBidi"/>
          <w:b w:val="0"/>
          <w:bCs w:val="0"/>
          <w:noProof/>
          <w:color w:val="auto"/>
          <w:kern w:val="2"/>
          <w:szCs w:val="24"/>
          <w:lang w:eastAsia="en-GB"/>
          <w14:ligatures w14:val="standardContextual"/>
        </w:rPr>
      </w:pPr>
      <w:hyperlink w:anchor="_Toc211602318" w:history="1">
        <w:r w:rsidRPr="00DA41E6">
          <w:rPr>
            <w:rStyle w:val="Hyperlink"/>
            <w:noProof/>
          </w:rPr>
          <w:t>Responsibilities</w:t>
        </w:r>
        <w:r>
          <w:rPr>
            <w:noProof/>
            <w:webHidden/>
          </w:rPr>
          <w:tab/>
        </w:r>
        <w:r>
          <w:rPr>
            <w:noProof/>
            <w:webHidden/>
          </w:rPr>
          <w:fldChar w:fldCharType="begin"/>
        </w:r>
        <w:r>
          <w:rPr>
            <w:noProof/>
            <w:webHidden/>
          </w:rPr>
          <w:instrText xml:space="preserve"> PAGEREF _Toc211602318 \h </w:instrText>
        </w:r>
        <w:r>
          <w:rPr>
            <w:noProof/>
            <w:webHidden/>
          </w:rPr>
        </w:r>
        <w:r>
          <w:rPr>
            <w:noProof/>
            <w:webHidden/>
          </w:rPr>
          <w:fldChar w:fldCharType="separate"/>
        </w:r>
        <w:r>
          <w:rPr>
            <w:noProof/>
            <w:webHidden/>
          </w:rPr>
          <w:t>3</w:t>
        </w:r>
        <w:r>
          <w:rPr>
            <w:noProof/>
            <w:webHidden/>
          </w:rPr>
          <w:fldChar w:fldCharType="end"/>
        </w:r>
      </w:hyperlink>
    </w:p>
    <w:p w14:paraId="6881A937" w14:textId="1A601D9C" w:rsidR="001D1217" w:rsidRDefault="001D1217">
      <w:pPr>
        <w:pStyle w:val="TOC1"/>
        <w:tabs>
          <w:tab w:val="right" w:leader="dot" w:pos="9346"/>
        </w:tabs>
        <w:rPr>
          <w:rFonts w:eastAsiaTheme="minorEastAsia" w:cstheme="minorBidi"/>
          <w:b w:val="0"/>
          <w:bCs w:val="0"/>
          <w:noProof/>
          <w:color w:val="auto"/>
          <w:kern w:val="2"/>
          <w:szCs w:val="24"/>
          <w:lang w:eastAsia="en-GB"/>
          <w14:ligatures w14:val="standardContextual"/>
        </w:rPr>
      </w:pPr>
      <w:hyperlink w:anchor="_Toc211602319" w:history="1">
        <w:r w:rsidRPr="00DA41E6">
          <w:rPr>
            <w:rStyle w:val="Hyperlink"/>
            <w:noProof/>
          </w:rPr>
          <w:t>Delegation &amp; Sub Groups</w:t>
        </w:r>
        <w:r>
          <w:rPr>
            <w:noProof/>
            <w:webHidden/>
          </w:rPr>
          <w:tab/>
        </w:r>
        <w:r>
          <w:rPr>
            <w:noProof/>
            <w:webHidden/>
          </w:rPr>
          <w:fldChar w:fldCharType="begin"/>
        </w:r>
        <w:r>
          <w:rPr>
            <w:noProof/>
            <w:webHidden/>
          </w:rPr>
          <w:instrText xml:space="preserve"> PAGEREF _Toc211602319 \h </w:instrText>
        </w:r>
        <w:r>
          <w:rPr>
            <w:noProof/>
            <w:webHidden/>
          </w:rPr>
        </w:r>
        <w:r>
          <w:rPr>
            <w:noProof/>
            <w:webHidden/>
          </w:rPr>
          <w:fldChar w:fldCharType="separate"/>
        </w:r>
        <w:r>
          <w:rPr>
            <w:noProof/>
            <w:webHidden/>
          </w:rPr>
          <w:t>4</w:t>
        </w:r>
        <w:r>
          <w:rPr>
            <w:noProof/>
            <w:webHidden/>
          </w:rPr>
          <w:fldChar w:fldCharType="end"/>
        </w:r>
      </w:hyperlink>
    </w:p>
    <w:p w14:paraId="51458835" w14:textId="217B3BAB" w:rsidR="001D1217" w:rsidRDefault="001D1217">
      <w:pPr>
        <w:pStyle w:val="TOC1"/>
        <w:tabs>
          <w:tab w:val="right" w:leader="dot" w:pos="9346"/>
        </w:tabs>
        <w:rPr>
          <w:rFonts w:eastAsiaTheme="minorEastAsia" w:cstheme="minorBidi"/>
          <w:b w:val="0"/>
          <w:bCs w:val="0"/>
          <w:noProof/>
          <w:color w:val="auto"/>
          <w:kern w:val="2"/>
          <w:szCs w:val="24"/>
          <w:lang w:eastAsia="en-GB"/>
          <w14:ligatures w14:val="standardContextual"/>
        </w:rPr>
      </w:pPr>
      <w:hyperlink w:anchor="_Toc211602320" w:history="1">
        <w:r w:rsidRPr="00DA41E6">
          <w:rPr>
            <w:rStyle w:val="Hyperlink"/>
            <w:noProof/>
          </w:rPr>
          <w:t>Delegated Authority</w:t>
        </w:r>
        <w:r>
          <w:rPr>
            <w:noProof/>
            <w:webHidden/>
          </w:rPr>
          <w:tab/>
        </w:r>
        <w:r>
          <w:rPr>
            <w:noProof/>
            <w:webHidden/>
          </w:rPr>
          <w:fldChar w:fldCharType="begin"/>
        </w:r>
        <w:r>
          <w:rPr>
            <w:noProof/>
            <w:webHidden/>
          </w:rPr>
          <w:instrText xml:space="preserve"> PAGEREF _Toc211602320 \h </w:instrText>
        </w:r>
        <w:r>
          <w:rPr>
            <w:noProof/>
            <w:webHidden/>
          </w:rPr>
        </w:r>
        <w:r>
          <w:rPr>
            <w:noProof/>
            <w:webHidden/>
          </w:rPr>
          <w:fldChar w:fldCharType="separate"/>
        </w:r>
        <w:r>
          <w:rPr>
            <w:noProof/>
            <w:webHidden/>
          </w:rPr>
          <w:t>4</w:t>
        </w:r>
        <w:r>
          <w:rPr>
            <w:noProof/>
            <w:webHidden/>
          </w:rPr>
          <w:fldChar w:fldCharType="end"/>
        </w:r>
      </w:hyperlink>
    </w:p>
    <w:p w14:paraId="7387424D" w14:textId="71D4B7B3" w:rsidR="001D1217" w:rsidRDefault="001D1217">
      <w:pPr>
        <w:pStyle w:val="TOC1"/>
        <w:tabs>
          <w:tab w:val="right" w:leader="dot" w:pos="9346"/>
        </w:tabs>
        <w:rPr>
          <w:rFonts w:eastAsiaTheme="minorEastAsia" w:cstheme="minorBidi"/>
          <w:b w:val="0"/>
          <w:bCs w:val="0"/>
          <w:noProof/>
          <w:color w:val="auto"/>
          <w:kern w:val="2"/>
          <w:szCs w:val="24"/>
          <w:lang w:eastAsia="en-GB"/>
          <w14:ligatures w14:val="standardContextual"/>
        </w:rPr>
      </w:pPr>
      <w:hyperlink w:anchor="_Toc211602321" w:history="1">
        <w:r w:rsidRPr="00DA41E6">
          <w:rPr>
            <w:rStyle w:val="Hyperlink"/>
            <w:noProof/>
          </w:rPr>
          <w:t>Membership</w:t>
        </w:r>
        <w:r>
          <w:rPr>
            <w:noProof/>
            <w:webHidden/>
          </w:rPr>
          <w:tab/>
        </w:r>
        <w:r>
          <w:rPr>
            <w:noProof/>
            <w:webHidden/>
          </w:rPr>
          <w:fldChar w:fldCharType="begin"/>
        </w:r>
        <w:r>
          <w:rPr>
            <w:noProof/>
            <w:webHidden/>
          </w:rPr>
          <w:instrText xml:space="preserve"> PAGEREF _Toc211602321 \h </w:instrText>
        </w:r>
        <w:r>
          <w:rPr>
            <w:noProof/>
            <w:webHidden/>
          </w:rPr>
        </w:r>
        <w:r>
          <w:rPr>
            <w:noProof/>
            <w:webHidden/>
          </w:rPr>
          <w:fldChar w:fldCharType="separate"/>
        </w:r>
        <w:r>
          <w:rPr>
            <w:noProof/>
            <w:webHidden/>
          </w:rPr>
          <w:t>5</w:t>
        </w:r>
        <w:r>
          <w:rPr>
            <w:noProof/>
            <w:webHidden/>
          </w:rPr>
          <w:fldChar w:fldCharType="end"/>
        </w:r>
      </w:hyperlink>
    </w:p>
    <w:p w14:paraId="27077724" w14:textId="54435318" w:rsidR="001D1217" w:rsidRDefault="001D1217">
      <w:pPr>
        <w:pStyle w:val="TOC1"/>
        <w:tabs>
          <w:tab w:val="right" w:leader="dot" w:pos="9346"/>
        </w:tabs>
        <w:rPr>
          <w:rFonts w:eastAsiaTheme="minorEastAsia" w:cstheme="minorBidi"/>
          <w:b w:val="0"/>
          <w:bCs w:val="0"/>
          <w:noProof/>
          <w:color w:val="auto"/>
          <w:kern w:val="2"/>
          <w:szCs w:val="24"/>
          <w:lang w:eastAsia="en-GB"/>
          <w14:ligatures w14:val="standardContextual"/>
        </w:rPr>
      </w:pPr>
      <w:hyperlink w:anchor="_Toc211602322" w:history="1">
        <w:r w:rsidRPr="00DA41E6">
          <w:rPr>
            <w:rStyle w:val="Hyperlink"/>
            <w:noProof/>
          </w:rPr>
          <w:t>Frequency &amp; Quoracy</w:t>
        </w:r>
        <w:r>
          <w:rPr>
            <w:noProof/>
            <w:webHidden/>
          </w:rPr>
          <w:tab/>
        </w:r>
        <w:r>
          <w:rPr>
            <w:noProof/>
            <w:webHidden/>
          </w:rPr>
          <w:fldChar w:fldCharType="begin"/>
        </w:r>
        <w:r>
          <w:rPr>
            <w:noProof/>
            <w:webHidden/>
          </w:rPr>
          <w:instrText xml:space="preserve"> PAGEREF _Toc211602322 \h </w:instrText>
        </w:r>
        <w:r>
          <w:rPr>
            <w:noProof/>
            <w:webHidden/>
          </w:rPr>
        </w:r>
        <w:r>
          <w:rPr>
            <w:noProof/>
            <w:webHidden/>
          </w:rPr>
          <w:fldChar w:fldCharType="separate"/>
        </w:r>
        <w:r>
          <w:rPr>
            <w:noProof/>
            <w:webHidden/>
          </w:rPr>
          <w:t>5</w:t>
        </w:r>
        <w:r>
          <w:rPr>
            <w:noProof/>
            <w:webHidden/>
          </w:rPr>
          <w:fldChar w:fldCharType="end"/>
        </w:r>
      </w:hyperlink>
    </w:p>
    <w:p w14:paraId="64725A98" w14:textId="2F44056B" w:rsidR="001D1217" w:rsidRDefault="001D1217">
      <w:pPr>
        <w:pStyle w:val="TOC1"/>
        <w:tabs>
          <w:tab w:val="right" w:leader="dot" w:pos="9346"/>
        </w:tabs>
        <w:rPr>
          <w:rFonts w:eastAsiaTheme="minorEastAsia" w:cstheme="minorBidi"/>
          <w:b w:val="0"/>
          <w:bCs w:val="0"/>
          <w:noProof/>
          <w:color w:val="auto"/>
          <w:kern w:val="2"/>
          <w:szCs w:val="24"/>
          <w:lang w:eastAsia="en-GB"/>
          <w14:ligatures w14:val="standardContextual"/>
        </w:rPr>
      </w:pPr>
      <w:hyperlink w:anchor="_Toc211602323" w:history="1">
        <w:r w:rsidRPr="00DA41E6">
          <w:rPr>
            <w:rStyle w:val="Hyperlink"/>
            <w:noProof/>
          </w:rPr>
          <w:t>Reporting and Accountability</w:t>
        </w:r>
        <w:r>
          <w:rPr>
            <w:noProof/>
            <w:webHidden/>
          </w:rPr>
          <w:tab/>
        </w:r>
        <w:r>
          <w:rPr>
            <w:noProof/>
            <w:webHidden/>
          </w:rPr>
          <w:fldChar w:fldCharType="begin"/>
        </w:r>
        <w:r>
          <w:rPr>
            <w:noProof/>
            <w:webHidden/>
          </w:rPr>
          <w:instrText xml:space="preserve"> PAGEREF _Toc211602323 \h </w:instrText>
        </w:r>
        <w:r>
          <w:rPr>
            <w:noProof/>
            <w:webHidden/>
          </w:rPr>
        </w:r>
        <w:r>
          <w:rPr>
            <w:noProof/>
            <w:webHidden/>
          </w:rPr>
          <w:fldChar w:fldCharType="separate"/>
        </w:r>
        <w:r>
          <w:rPr>
            <w:noProof/>
            <w:webHidden/>
          </w:rPr>
          <w:t>6</w:t>
        </w:r>
        <w:r>
          <w:rPr>
            <w:noProof/>
            <w:webHidden/>
          </w:rPr>
          <w:fldChar w:fldCharType="end"/>
        </w:r>
      </w:hyperlink>
    </w:p>
    <w:p w14:paraId="120A741B" w14:textId="4C064D67" w:rsidR="001D1217" w:rsidRDefault="001D1217">
      <w:pPr>
        <w:pStyle w:val="TOC1"/>
        <w:tabs>
          <w:tab w:val="right" w:leader="dot" w:pos="9346"/>
        </w:tabs>
        <w:rPr>
          <w:rFonts w:eastAsiaTheme="minorEastAsia" w:cstheme="minorBidi"/>
          <w:b w:val="0"/>
          <w:bCs w:val="0"/>
          <w:noProof/>
          <w:color w:val="auto"/>
          <w:kern w:val="2"/>
          <w:szCs w:val="24"/>
          <w:lang w:eastAsia="en-GB"/>
          <w14:ligatures w14:val="standardContextual"/>
        </w:rPr>
      </w:pPr>
      <w:hyperlink w:anchor="_Toc211602324" w:history="1">
        <w:r w:rsidRPr="00DA41E6">
          <w:rPr>
            <w:rStyle w:val="Hyperlink"/>
            <w:noProof/>
          </w:rPr>
          <w:t>Review</w:t>
        </w:r>
        <w:r>
          <w:rPr>
            <w:noProof/>
            <w:webHidden/>
          </w:rPr>
          <w:tab/>
        </w:r>
        <w:r>
          <w:rPr>
            <w:noProof/>
            <w:webHidden/>
          </w:rPr>
          <w:fldChar w:fldCharType="begin"/>
        </w:r>
        <w:r>
          <w:rPr>
            <w:noProof/>
            <w:webHidden/>
          </w:rPr>
          <w:instrText xml:space="preserve"> PAGEREF _Toc211602324 \h </w:instrText>
        </w:r>
        <w:r>
          <w:rPr>
            <w:noProof/>
            <w:webHidden/>
          </w:rPr>
        </w:r>
        <w:r>
          <w:rPr>
            <w:noProof/>
            <w:webHidden/>
          </w:rPr>
          <w:fldChar w:fldCharType="separate"/>
        </w:r>
        <w:r>
          <w:rPr>
            <w:noProof/>
            <w:webHidden/>
          </w:rPr>
          <w:t>6</w:t>
        </w:r>
        <w:r>
          <w:rPr>
            <w:noProof/>
            <w:webHidden/>
          </w:rPr>
          <w:fldChar w:fldCharType="end"/>
        </w:r>
      </w:hyperlink>
    </w:p>
    <w:p w14:paraId="3614DF17" w14:textId="72B9873D" w:rsidR="001D1217" w:rsidRDefault="001D1217">
      <w:pPr>
        <w:pStyle w:val="TOC1"/>
        <w:tabs>
          <w:tab w:val="right" w:leader="dot" w:pos="9346"/>
        </w:tabs>
        <w:rPr>
          <w:rFonts w:eastAsiaTheme="minorEastAsia" w:cstheme="minorBidi"/>
          <w:b w:val="0"/>
          <w:bCs w:val="0"/>
          <w:noProof/>
          <w:color w:val="auto"/>
          <w:kern w:val="2"/>
          <w:szCs w:val="24"/>
          <w:lang w:eastAsia="en-GB"/>
          <w14:ligatures w14:val="standardContextual"/>
        </w:rPr>
      </w:pPr>
      <w:hyperlink w:anchor="_Toc211602325" w:history="1">
        <w:r w:rsidRPr="00DA41E6">
          <w:rPr>
            <w:rStyle w:val="Hyperlink"/>
            <w:noProof/>
          </w:rPr>
          <w:t>Alignment with Governance Framework</w:t>
        </w:r>
        <w:r>
          <w:rPr>
            <w:noProof/>
            <w:webHidden/>
          </w:rPr>
          <w:tab/>
        </w:r>
        <w:r>
          <w:rPr>
            <w:noProof/>
            <w:webHidden/>
          </w:rPr>
          <w:fldChar w:fldCharType="begin"/>
        </w:r>
        <w:r>
          <w:rPr>
            <w:noProof/>
            <w:webHidden/>
          </w:rPr>
          <w:instrText xml:space="preserve"> PAGEREF _Toc211602325 \h </w:instrText>
        </w:r>
        <w:r>
          <w:rPr>
            <w:noProof/>
            <w:webHidden/>
          </w:rPr>
        </w:r>
        <w:r>
          <w:rPr>
            <w:noProof/>
            <w:webHidden/>
          </w:rPr>
          <w:fldChar w:fldCharType="separate"/>
        </w:r>
        <w:r>
          <w:rPr>
            <w:noProof/>
            <w:webHidden/>
          </w:rPr>
          <w:t>6</w:t>
        </w:r>
        <w:r>
          <w:rPr>
            <w:noProof/>
            <w:webHidden/>
          </w:rPr>
          <w:fldChar w:fldCharType="end"/>
        </w:r>
      </w:hyperlink>
    </w:p>
    <w:p w14:paraId="59BF406F" w14:textId="00DC7439" w:rsidR="001D1217" w:rsidRDefault="001D1217">
      <w:pPr>
        <w:pStyle w:val="TOC1"/>
        <w:tabs>
          <w:tab w:val="right" w:leader="dot" w:pos="9346"/>
        </w:tabs>
        <w:rPr>
          <w:rFonts w:eastAsiaTheme="minorEastAsia" w:cstheme="minorBidi"/>
          <w:b w:val="0"/>
          <w:bCs w:val="0"/>
          <w:noProof/>
          <w:color w:val="auto"/>
          <w:kern w:val="2"/>
          <w:szCs w:val="24"/>
          <w:lang w:eastAsia="en-GB"/>
          <w14:ligatures w14:val="standardContextual"/>
        </w:rPr>
      </w:pPr>
      <w:hyperlink w:anchor="_Toc211602326" w:history="1">
        <w:r w:rsidRPr="00DA41E6">
          <w:rPr>
            <w:rStyle w:val="Hyperlink"/>
            <w:noProof/>
          </w:rPr>
          <w:t>Links to Other Committees</w:t>
        </w:r>
        <w:r>
          <w:rPr>
            <w:noProof/>
            <w:webHidden/>
          </w:rPr>
          <w:tab/>
        </w:r>
        <w:r>
          <w:rPr>
            <w:noProof/>
            <w:webHidden/>
          </w:rPr>
          <w:fldChar w:fldCharType="begin"/>
        </w:r>
        <w:r>
          <w:rPr>
            <w:noProof/>
            <w:webHidden/>
          </w:rPr>
          <w:instrText xml:space="preserve"> PAGEREF _Toc211602326 \h </w:instrText>
        </w:r>
        <w:r>
          <w:rPr>
            <w:noProof/>
            <w:webHidden/>
          </w:rPr>
        </w:r>
        <w:r>
          <w:rPr>
            <w:noProof/>
            <w:webHidden/>
          </w:rPr>
          <w:fldChar w:fldCharType="separate"/>
        </w:r>
        <w:r>
          <w:rPr>
            <w:noProof/>
            <w:webHidden/>
          </w:rPr>
          <w:t>7</w:t>
        </w:r>
        <w:r>
          <w:rPr>
            <w:noProof/>
            <w:webHidden/>
          </w:rPr>
          <w:fldChar w:fldCharType="end"/>
        </w:r>
      </w:hyperlink>
    </w:p>
    <w:p w14:paraId="1917BC51" w14:textId="13E594CF" w:rsidR="001D1217" w:rsidRDefault="001D1217">
      <w:pPr>
        <w:pStyle w:val="TOC1"/>
        <w:tabs>
          <w:tab w:val="right" w:leader="dot" w:pos="9346"/>
        </w:tabs>
        <w:rPr>
          <w:rFonts w:eastAsiaTheme="minorEastAsia" w:cstheme="minorBidi"/>
          <w:b w:val="0"/>
          <w:bCs w:val="0"/>
          <w:noProof/>
          <w:color w:val="auto"/>
          <w:kern w:val="2"/>
          <w:szCs w:val="24"/>
          <w:lang w:eastAsia="en-GB"/>
          <w14:ligatures w14:val="standardContextual"/>
        </w:rPr>
      </w:pPr>
      <w:hyperlink w:anchor="_Toc211602327" w:history="1">
        <w:r w:rsidRPr="00DA41E6">
          <w:rPr>
            <w:rStyle w:val="Hyperlink"/>
            <w:noProof/>
          </w:rPr>
          <w:t>Appendix A: People Committee Reporting Framework</w:t>
        </w:r>
        <w:r>
          <w:rPr>
            <w:noProof/>
            <w:webHidden/>
          </w:rPr>
          <w:tab/>
        </w:r>
        <w:r>
          <w:rPr>
            <w:noProof/>
            <w:webHidden/>
          </w:rPr>
          <w:fldChar w:fldCharType="begin"/>
        </w:r>
        <w:r>
          <w:rPr>
            <w:noProof/>
            <w:webHidden/>
          </w:rPr>
          <w:instrText xml:space="preserve"> PAGEREF _Toc211602327 \h </w:instrText>
        </w:r>
        <w:r>
          <w:rPr>
            <w:noProof/>
            <w:webHidden/>
          </w:rPr>
        </w:r>
        <w:r>
          <w:rPr>
            <w:noProof/>
            <w:webHidden/>
          </w:rPr>
          <w:fldChar w:fldCharType="separate"/>
        </w:r>
        <w:r>
          <w:rPr>
            <w:noProof/>
            <w:webHidden/>
          </w:rPr>
          <w:t>8</w:t>
        </w:r>
        <w:r>
          <w:rPr>
            <w:noProof/>
            <w:webHidden/>
          </w:rPr>
          <w:fldChar w:fldCharType="end"/>
        </w:r>
      </w:hyperlink>
    </w:p>
    <w:p w14:paraId="3EA028AC" w14:textId="04C1CDB6" w:rsidR="001D1217" w:rsidRDefault="001D1217">
      <w:pPr>
        <w:pStyle w:val="TOC1"/>
        <w:tabs>
          <w:tab w:val="right" w:leader="dot" w:pos="9346"/>
        </w:tabs>
        <w:rPr>
          <w:rFonts w:eastAsiaTheme="minorEastAsia" w:cstheme="minorBidi"/>
          <w:b w:val="0"/>
          <w:bCs w:val="0"/>
          <w:noProof/>
          <w:color w:val="auto"/>
          <w:kern w:val="2"/>
          <w:szCs w:val="24"/>
          <w:lang w:eastAsia="en-GB"/>
          <w14:ligatures w14:val="standardContextual"/>
        </w:rPr>
      </w:pPr>
      <w:hyperlink w:anchor="_Toc211602328" w:history="1">
        <w:r w:rsidRPr="00DA41E6">
          <w:rPr>
            <w:rStyle w:val="Hyperlink"/>
            <w:noProof/>
          </w:rPr>
          <w:t>Appendix B: People Committee Agenda Template</w:t>
        </w:r>
        <w:r>
          <w:rPr>
            <w:noProof/>
            <w:webHidden/>
          </w:rPr>
          <w:tab/>
        </w:r>
        <w:r>
          <w:rPr>
            <w:noProof/>
            <w:webHidden/>
          </w:rPr>
          <w:fldChar w:fldCharType="begin"/>
        </w:r>
        <w:r>
          <w:rPr>
            <w:noProof/>
            <w:webHidden/>
          </w:rPr>
          <w:instrText xml:space="preserve"> PAGEREF _Toc211602328 \h </w:instrText>
        </w:r>
        <w:r>
          <w:rPr>
            <w:noProof/>
            <w:webHidden/>
          </w:rPr>
        </w:r>
        <w:r>
          <w:rPr>
            <w:noProof/>
            <w:webHidden/>
          </w:rPr>
          <w:fldChar w:fldCharType="separate"/>
        </w:r>
        <w:r>
          <w:rPr>
            <w:noProof/>
            <w:webHidden/>
          </w:rPr>
          <w:t>10</w:t>
        </w:r>
        <w:r>
          <w:rPr>
            <w:noProof/>
            <w:webHidden/>
          </w:rPr>
          <w:fldChar w:fldCharType="end"/>
        </w:r>
      </w:hyperlink>
    </w:p>
    <w:p w14:paraId="21451FA2" w14:textId="2CABD12D" w:rsidR="001D1217" w:rsidRDefault="001D1217">
      <w:pPr>
        <w:pStyle w:val="TOC1"/>
        <w:tabs>
          <w:tab w:val="right" w:leader="dot" w:pos="9346"/>
        </w:tabs>
        <w:rPr>
          <w:rFonts w:eastAsiaTheme="minorEastAsia" w:cstheme="minorBidi"/>
          <w:b w:val="0"/>
          <w:bCs w:val="0"/>
          <w:noProof/>
          <w:color w:val="auto"/>
          <w:kern w:val="2"/>
          <w:szCs w:val="24"/>
          <w:lang w:eastAsia="en-GB"/>
          <w14:ligatures w14:val="standardContextual"/>
        </w:rPr>
      </w:pPr>
      <w:hyperlink w:anchor="_Toc211602329" w:history="1">
        <w:r w:rsidRPr="00DA41E6">
          <w:rPr>
            <w:rStyle w:val="Hyperlink"/>
            <w:noProof/>
          </w:rPr>
          <w:t>Appendix C: Version Control</w:t>
        </w:r>
        <w:r>
          <w:rPr>
            <w:noProof/>
            <w:webHidden/>
          </w:rPr>
          <w:tab/>
        </w:r>
        <w:r>
          <w:rPr>
            <w:noProof/>
            <w:webHidden/>
          </w:rPr>
          <w:fldChar w:fldCharType="begin"/>
        </w:r>
        <w:r>
          <w:rPr>
            <w:noProof/>
            <w:webHidden/>
          </w:rPr>
          <w:instrText xml:space="preserve"> PAGEREF _Toc211602329 \h </w:instrText>
        </w:r>
        <w:r>
          <w:rPr>
            <w:noProof/>
            <w:webHidden/>
          </w:rPr>
        </w:r>
        <w:r>
          <w:rPr>
            <w:noProof/>
            <w:webHidden/>
          </w:rPr>
          <w:fldChar w:fldCharType="separate"/>
        </w:r>
        <w:r>
          <w:rPr>
            <w:noProof/>
            <w:webHidden/>
          </w:rPr>
          <w:t>11</w:t>
        </w:r>
        <w:r>
          <w:rPr>
            <w:noProof/>
            <w:webHidden/>
          </w:rPr>
          <w:fldChar w:fldCharType="end"/>
        </w:r>
      </w:hyperlink>
    </w:p>
    <w:p w14:paraId="73DB58D3" w14:textId="30C62459" w:rsidR="001D1217" w:rsidRDefault="001D1217">
      <w:pPr>
        <w:pStyle w:val="TOC1"/>
        <w:tabs>
          <w:tab w:val="right" w:leader="dot" w:pos="9346"/>
        </w:tabs>
        <w:rPr>
          <w:rFonts w:eastAsiaTheme="minorEastAsia" w:cstheme="minorBidi"/>
          <w:b w:val="0"/>
          <w:bCs w:val="0"/>
          <w:noProof/>
          <w:color w:val="auto"/>
          <w:kern w:val="2"/>
          <w:szCs w:val="24"/>
          <w:lang w:eastAsia="en-GB"/>
          <w14:ligatures w14:val="standardContextual"/>
        </w:rPr>
      </w:pPr>
      <w:hyperlink w:anchor="_Toc211602330" w:history="1">
        <w:r w:rsidRPr="00DA41E6">
          <w:rPr>
            <w:rStyle w:val="Hyperlink"/>
            <w:noProof/>
          </w:rPr>
          <w:t>Appendix D: Equality Impact Assessment (EQIA) Summary</w:t>
        </w:r>
        <w:r>
          <w:rPr>
            <w:noProof/>
            <w:webHidden/>
          </w:rPr>
          <w:tab/>
        </w:r>
        <w:r>
          <w:rPr>
            <w:noProof/>
            <w:webHidden/>
          </w:rPr>
          <w:fldChar w:fldCharType="begin"/>
        </w:r>
        <w:r>
          <w:rPr>
            <w:noProof/>
            <w:webHidden/>
          </w:rPr>
          <w:instrText xml:space="preserve"> PAGEREF _Toc211602330 \h </w:instrText>
        </w:r>
        <w:r>
          <w:rPr>
            <w:noProof/>
            <w:webHidden/>
          </w:rPr>
        </w:r>
        <w:r>
          <w:rPr>
            <w:noProof/>
            <w:webHidden/>
          </w:rPr>
          <w:fldChar w:fldCharType="separate"/>
        </w:r>
        <w:r>
          <w:rPr>
            <w:noProof/>
            <w:webHidden/>
          </w:rPr>
          <w:t>11</w:t>
        </w:r>
        <w:r>
          <w:rPr>
            <w:noProof/>
            <w:webHidden/>
          </w:rPr>
          <w:fldChar w:fldCharType="end"/>
        </w:r>
      </w:hyperlink>
    </w:p>
    <w:p w14:paraId="475FFF73" w14:textId="40EB81BA" w:rsidR="00426F5A" w:rsidRDefault="006916B2" w:rsidP="00426F5A">
      <w:pPr>
        <w:rPr>
          <w:rFonts w:cs="Arial"/>
          <w:color w:val="595959"/>
          <w:sz w:val="28"/>
          <w:szCs w:val="28"/>
        </w:rPr>
      </w:pPr>
      <w:r w:rsidRPr="00F647F7">
        <w:rPr>
          <w:rFonts w:asciiTheme="minorHAnsi" w:hAnsiTheme="minorHAnsi" w:cs="Arial"/>
          <w:b/>
          <w:bCs/>
          <w:i/>
          <w:iCs/>
          <w:sz w:val="28"/>
          <w:szCs w:val="28"/>
        </w:rPr>
        <w:fldChar w:fldCharType="end"/>
      </w:r>
      <w:r w:rsidR="00426F5A">
        <w:rPr>
          <w:rFonts w:cs="Arial"/>
          <w:color w:val="595959"/>
          <w:sz w:val="28"/>
          <w:szCs w:val="28"/>
        </w:rPr>
        <w:br w:type="page"/>
      </w:r>
    </w:p>
    <w:p w14:paraId="48D7C0A2" w14:textId="3F132012" w:rsidR="00426F5A" w:rsidRDefault="003B6FA1" w:rsidP="003B2555">
      <w:pPr>
        <w:pStyle w:val="Heading2"/>
      </w:pPr>
      <w:bookmarkStart w:id="0" w:name="_Toc211602317"/>
      <w:r>
        <w:lastRenderedPageBreak/>
        <w:t>Purpose</w:t>
      </w:r>
      <w:bookmarkEnd w:id="0"/>
    </w:p>
    <w:p w14:paraId="324D5A49" w14:textId="77777777" w:rsidR="00965F41" w:rsidRDefault="004B5956" w:rsidP="0092258B">
      <w:pPr>
        <w:pStyle w:val="NormalWeb"/>
        <w:spacing w:before="120" w:beforeAutospacing="0"/>
        <w:rPr>
          <w:rFonts w:asciiTheme="minorHAnsi" w:hAnsiTheme="minorHAnsi" w:cstheme="minorHAnsi"/>
          <w:sz w:val="22"/>
          <w:szCs w:val="22"/>
        </w:rPr>
      </w:pPr>
      <w:r w:rsidRPr="00BC0432">
        <w:rPr>
          <w:rFonts w:asciiTheme="minorHAnsi" w:hAnsiTheme="minorHAnsi" w:cstheme="minorHAnsi"/>
          <w:sz w:val="22"/>
          <w:szCs w:val="22"/>
        </w:rPr>
        <w:t>Workforce management, including terms and conditions of employment, contracting and self-employment,</w:t>
      </w:r>
      <w:r w:rsidR="008532D9" w:rsidRPr="00BC0432">
        <w:rPr>
          <w:rFonts w:asciiTheme="minorHAnsi" w:hAnsiTheme="minorHAnsi" w:cstheme="minorHAnsi"/>
          <w:sz w:val="22"/>
          <w:szCs w:val="22"/>
        </w:rPr>
        <w:t xml:space="preserve"> is a responsibility of the BrisDoc Combined Corporate Board. </w:t>
      </w:r>
    </w:p>
    <w:p w14:paraId="71A4FB0B" w14:textId="77777777" w:rsidR="00965F41" w:rsidRDefault="008532D9" w:rsidP="0092258B">
      <w:pPr>
        <w:pStyle w:val="NormalWeb"/>
        <w:spacing w:before="120" w:beforeAutospacing="0"/>
        <w:rPr>
          <w:rFonts w:asciiTheme="minorHAnsi" w:hAnsiTheme="minorHAnsi" w:cstheme="minorHAnsi"/>
          <w:sz w:val="22"/>
          <w:szCs w:val="22"/>
        </w:rPr>
      </w:pPr>
      <w:r w:rsidRPr="00BC0432">
        <w:rPr>
          <w:rFonts w:asciiTheme="minorHAnsi" w:hAnsiTheme="minorHAnsi" w:cstheme="minorHAnsi"/>
          <w:sz w:val="22"/>
          <w:szCs w:val="22"/>
        </w:rPr>
        <w:t xml:space="preserve">The overall purpose of the </w:t>
      </w:r>
      <w:r w:rsidR="004B5956" w:rsidRPr="00BC0432">
        <w:rPr>
          <w:rFonts w:asciiTheme="minorHAnsi" w:hAnsiTheme="minorHAnsi" w:cstheme="minorHAnsi"/>
          <w:sz w:val="22"/>
          <w:szCs w:val="22"/>
        </w:rPr>
        <w:t>People</w:t>
      </w:r>
      <w:r w:rsidRPr="00BC0432">
        <w:rPr>
          <w:rFonts w:asciiTheme="minorHAnsi" w:hAnsiTheme="minorHAnsi" w:cstheme="minorHAnsi"/>
          <w:sz w:val="22"/>
          <w:szCs w:val="22"/>
        </w:rPr>
        <w:t xml:space="preserve"> Committee is to assist and provide assurance to the Board in its duty to oversee and supervise the board direction of the company’s </w:t>
      </w:r>
      <w:r w:rsidR="004B5956" w:rsidRPr="00BC0432">
        <w:rPr>
          <w:rFonts w:asciiTheme="minorHAnsi" w:hAnsiTheme="minorHAnsi" w:cstheme="minorHAnsi"/>
          <w:sz w:val="22"/>
          <w:szCs w:val="22"/>
        </w:rPr>
        <w:t>workforce planning and resourcing,</w:t>
      </w:r>
      <w:r w:rsidR="0045057C" w:rsidRPr="00BC0432">
        <w:rPr>
          <w:rFonts w:asciiTheme="minorHAnsi" w:hAnsiTheme="minorHAnsi" w:cstheme="minorHAnsi"/>
          <w:sz w:val="22"/>
          <w:szCs w:val="22"/>
        </w:rPr>
        <w:t xml:space="preserve"> terms and condition of employment (and other forms of staff </w:t>
      </w:r>
      <w:r w:rsidR="008D5496" w:rsidRPr="00BC0432">
        <w:rPr>
          <w:rFonts w:asciiTheme="minorHAnsi" w:hAnsiTheme="minorHAnsi" w:cstheme="minorHAnsi"/>
          <w:sz w:val="22"/>
          <w:szCs w:val="22"/>
        </w:rPr>
        <w:t>contractual arrangements</w:t>
      </w:r>
      <w:r w:rsidR="0045057C" w:rsidRPr="00BC0432">
        <w:rPr>
          <w:rFonts w:asciiTheme="minorHAnsi" w:hAnsiTheme="minorHAnsi" w:cstheme="minorHAnsi"/>
          <w:sz w:val="22"/>
          <w:szCs w:val="22"/>
        </w:rPr>
        <w:t>),</w:t>
      </w:r>
      <w:r w:rsidR="004B5956" w:rsidRPr="00BC0432">
        <w:rPr>
          <w:rFonts w:asciiTheme="minorHAnsi" w:hAnsiTheme="minorHAnsi" w:cstheme="minorHAnsi"/>
          <w:sz w:val="22"/>
          <w:szCs w:val="22"/>
        </w:rPr>
        <w:t xml:space="preserve"> culture and engagement, wellbeing, equity, diversity and inclusion, and workforce-related risk and compliance.</w:t>
      </w:r>
      <w:r w:rsidR="0092258B" w:rsidRPr="00BC0432">
        <w:rPr>
          <w:rFonts w:asciiTheme="minorHAnsi" w:hAnsiTheme="minorHAnsi" w:cstheme="minorHAnsi"/>
          <w:sz w:val="22"/>
          <w:szCs w:val="22"/>
        </w:rPr>
        <w:t xml:space="preserve"> </w:t>
      </w:r>
    </w:p>
    <w:p w14:paraId="3F8A618C" w14:textId="2DCB900B" w:rsidR="0092258B" w:rsidRPr="00BC0432" w:rsidRDefault="0092258B" w:rsidP="0092258B">
      <w:pPr>
        <w:pStyle w:val="NormalWeb"/>
        <w:spacing w:before="120" w:beforeAutospacing="0"/>
        <w:rPr>
          <w:rFonts w:asciiTheme="minorHAnsi" w:hAnsiTheme="minorHAnsi" w:cstheme="minorHAnsi"/>
          <w:sz w:val="22"/>
          <w:szCs w:val="22"/>
        </w:rPr>
      </w:pPr>
      <w:r w:rsidRPr="00BC0432">
        <w:rPr>
          <w:rFonts w:asciiTheme="minorHAnsi" w:hAnsiTheme="minorHAnsi" w:cstheme="minorHAnsi"/>
          <w:sz w:val="22"/>
          <w:szCs w:val="22"/>
        </w:rPr>
        <w:t xml:space="preserve">The People Committee provides </w:t>
      </w:r>
      <w:r w:rsidRPr="00BC0432">
        <w:rPr>
          <w:rStyle w:val="Strong"/>
          <w:rFonts w:asciiTheme="minorHAnsi" w:eastAsiaTheme="majorEastAsia" w:hAnsiTheme="minorHAnsi" w:cstheme="minorHAnsi"/>
          <w:b w:val="0"/>
          <w:bCs w:val="0"/>
          <w:sz w:val="22"/>
          <w:szCs w:val="22"/>
        </w:rPr>
        <w:t>assurance to the Board</w:t>
      </w:r>
      <w:r w:rsidRPr="00BC0432">
        <w:rPr>
          <w:rFonts w:asciiTheme="minorHAnsi" w:hAnsiTheme="minorHAnsi" w:cstheme="minorHAnsi"/>
          <w:sz w:val="22"/>
          <w:szCs w:val="22"/>
        </w:rPr>
        <w:t xml:space="preserve"> that BrisDoc’s workforce is well-</w:t>
      </w:r>
      <w:r w:rsidR="00965F41" w:rsidRPr="000569FB">
        <w:rPr>
          <w:rFonts w:asciiTheme="minorHAnsi" w:hAnsiTheme="minorHAnsi" w:cstheme="minorHAnsi"/>
          <w:sz w:val="22"/>
          <w:szCs w:val="22"/>
        </w:rPr>
        <w:t>managed</w:t>
      </w:r>
      <w:r w:rsidRPr="000569FB">
        <w:rPr>
          <w:rFonts w:asciiTheme="minorHAnsi" w:hAnsiTheme="minorHAnsi" w:cstheme="minorHAnsi"/>
          <w:sz w:val="22"/>
          <w:szCs w:val="22"/>
        </w:rPr>
        <w:t>, appropriately</w:t>
      </w:r>
      <w:r w:rsidRPr="00BC0432">
        <w:rPr>
          <w:rFonts w:asciiTheme="minorHAnsi" w:hAnsiTheme="minorHAnsi" w:cstheme="minorHAnsi"/>
          <w:sz w:val="22"/>
          <w:szCs w:val="22"/>
        </w:rPr>
        <w:t xml:space="preserve"> resourced, engaged, and compliant with statutory and regulatory obligations</w:t>
      </w:r>
      <w:r w:rsidR="00BC0432" w:rsidRPr="00BC0432">
        <w:rPr>
          <w:rFonts w:asciiTheme="minorHAnsi" w:hAnsiTheme="minorHAnsi" w:cstheme="minorHAnsi"/>
          <w:sz w:val="22"/>
          <w:szCs w:val="22"/>
        </w:rPr>
        <w:t xml:space="preserve"> and that BrisDoc’s approach to these matters supports the organisation’s strategic objectives and values.</w:t>
      </w:r>
      <w:r w:rsidR="00F50C92" w:rsidRPr="00F50C92">
        <w:rPr>
          <w:rFonts w:ascii="Aptos" w:eastAsia="Calibri" w:hAnsi="Aptos" w:cs="Arial"/>
        </w:rPr>
        <w:t xml:space="preserve"> </w:t>
      </w:r>
      <w:r w:rsidR="00F50C92">
        <w:rPr>
          <w:rFonts w:ascii="Aptos" w:eastAsia="Calibri" w:hAnsi="Aptos" w:cs="Arial"/>
        </w:rPr>
        <w:t>The Committee also e</w:t>
      </w:r>
      <w:r w:rsidR="00F50C92" w:rsidRPr="00E55259">
        <w:rPr>
          <w:rFonts w:ascii="Aptos" w:eastAsia="Calibri" w:hAnsi="Aptos" w:cs="Arial"/>
        </w:rPr>
        <w:t>nsur</w:t>
      </w:r>
      <w:r w:rsidR="00F50C92">
        <w:rPr>
          <w:rFonts w:ascii="Aptos" w:eastAsia="Calibri" w:hAnsi="Aptos" w:cs="Arial"/>
        </w:rPr>
        <w:t>es</w:t>
      </w:r>
      <w:r w:rsidR="00F50C92" w:rsidRPr="00E55259">
        <w:rPr>
          <w:rFonts w:ascii="Aptos" w:eastAsia="Calibri" w:hAnsi="Aptos" w:cs="Arial"/>
        </w:rPr>
        <w:t xml:space="preserve"> the voice and views of Co-</w:t>
      </w:r>
      <w:r w:rsidR="00F50C92">
        <w:rPr>
          <w:rFonts w:ascii="Aptos" w:eastAsia="Calibri" w:hAnsi="Aptos" w:cs="Arial"/>
        </w:rPr>
        <w:t>O</w:t>
      </w:r>
      <w:r w:rsidR="00F50C92" w:rsidRPr="00E55259">
        <w:rPr>
          <w:rFonts w:ascii="Aptos" w:eastAsia="Calibri" w:hAnsi="Aptos" w:cs="Arial"/>
        </w:rPr>
        <w:t xml:space="preserve">wners are incorporated appropriately into </w:t>
      </w:r>
      <w:r w:rsidR="00F50C92">
        <w:rPr>
          <w:rFonts w:ascii="Aptos" w:eastAsia="Calibri" w:hAnsi="Aptos" w:cs="Arial"/>
        </w:rPr>
        <w:t>its</w:t>
      </w:r>
      <w:r w:rsidR="00F50C92" w:rsidRPr="00E55259">
        <w:rPr>
          <w:rFonts w:ascii="Aptos" w:eastAsia="Calibri" w:hAnsi="Aptos" w:cs="Arial"/>
        </w:rPr>
        <w:t xml:space="preserve"> work</w:t>
      </w:r>
      <w:r w:rsidR="00F50C92">
        <w:rPr>
          <w:rFonts w:ascii="Aptos" w:eastAsia="Calibri" w:hAnsi="Aptos" w:cs="Arial"/>
        </w:rPr>
        <w:t>.</w:t>
      </w:r>
    </w:p>
    <w:p w14:paraId="458F02BB" w14:textId="5972860D" w:rsidR="000435A3" w:rsidRPr="00F80E44" w:rsidRDefault="000D6144" w:rsidP="003B2555">
      <w:pPr>
        <w:pStyle w:val="Heading2"/>
      </w:pPr>
      <w:bookmarkStart w:id="1" w:name="_Toc370204401"/>
      <w:r>
        <w:t>The work and responsibilities of the Committee</w:t>
      </w:r>
    </w:p>
    <w:p w14:paraId="374A873D" w14:textId="77777777" w:rsidR="006A391A" w:rsidRPr="006B0E13" w:rsidRDefault="006A391A" w:rsidP="006A391A">
      <w:pPr>
        <w:rPr>
          <w:rFonts w:cs="Arial"/>
        </w:rPr>
      </w:pPr>
      <w:r w:rsidRPr="003B6FA1">
        <w:rPr>
          <w:rFonts w:cs="Arial"/>
        </w:rPr>
        <w:t>T</w:t>
      </w:r>
      <w:r>
        <w:rPr>
          <w:rFonts w:cs="Arial"/>
        </w:rPr>
        <w:t>o review and maintain an overview of the following:</w:t>
      </w:r>
    </w:p>
    <w:p w14:paraId="2CBD84D7" w14:textId="67F835FC" w:rsidR="00234A9D" w:rsidRPr="006768D4" w:rsidRDefault="00234A9D" w:rsidP="006768D4">
      <w:pPr>
        <w:pStyle w:val="Heading3"/>
      </w:pPr>
      <w:r w:rsidRPr="006768D4">
        <w:t>Workforce Assurance</w:t>
      </w:r>
    </w:p>
    <w:p w14:paraId="7D9E098A" w14:textId="39B38A61" w:rsidR="00234A9D" w:rsidRPr="00234A9D" w:rsidRDefault="00234A9D" w:rsidP="005D75B4">
      <w:pPr>
        <w:pStyle w:val="ListParagraph"/>
        <w:numPr>
          <w:ilvl w:val="0"/>
          <w:numId w:val="2"/>
        </w:numPr>
      </w:pPr>
      <w:r w:rsidRPr="00234A9D">
        <w:t>Provide assurance to the Board on the health, sustainability, and resilience of BrisDoc’s workforce across the five Board assurance themes:</w:t>
      </w:r>
    </w:p>
    <w:p w14:paraId="32E0E061" w14:textId="77777777" w:rsidR="00234A9D" w:rsidRPr="00234A9D" w:rsidRDefault="00234A9D" w:rsidP="005D75B4">
      <w:pPr>
        <w:pStyle w:val="ListParagraph"/>
        <w:numPr>
          <w:ilvl w:val="1"/>
          <w:numId w:val="3"/>
        </w:numPr>
      </w:pPr>
      <w:r w:rsidRPr="00234A9D">
        <w:t>Workforce Resourcing</w:t>
      </w:r>
    </w:p>
    <w:p w14:paraId="780CBCC8" w14:textId="77777777" w:rsidR="00234A9D" w:rsidRPr="00234A9D" w:rsidRDefault="00234A9D" w:rsidP="005D75B4">
      <w:pPr>
        <w:pStyle w:val="ListParagraph"/>
        <w:numPr>
          <w:ilvl w:val="1"/>
          <w:numId w:val="3"/>
        </w:numPr>
      </w:pPr>
      <w:r w:rsidRPr="00234A9D">
        <w:t>Engagement &amp; Culture</w:t>
      </w:r>
    </w:p>
    <w:p w14:paraId="1BB332CE" w14:textId="77777777" w:rsidR="00234A9D" w:rsidRPr="00234A9D" w:rsidRDefault="00234A9D" w:rsidP="005D75B4">
      <w:pPr>
        <w:pStyle w:val="ListParagraph"/>
        <w:numPr>
          <w:ilvl w:val="1"/>
          <w:numId w:val="3"/>
        </w:numPr>
      </w:pPr>
      <w:r w:rsidRPr="00234A9D">
        <w:t>Wellbeing</w:t>
      </w:r>
    </w:p>
    <w:p w14:paraId="44B0BCE9" w14:textId="77777777" w:rsidR="00234A9D" w:rsidRPr="00234A9D" w:rsidRDefault="00234A9D" w:rsidP="005D75B4">
      <w:pPr>
        <w:pStyle w:val="ListParagraph"/>
        <w:numPr>
          <w:ilvl w:val="1"/>
          <w:numId w:val="3"/>
        </w:numPr>
      </w:pPr>
      <w:r w:rsidRPr="00234A9D">
        <w:t>Equity, Diversity &amp; Inclusion</w:t>
      </w:r>
    </w:p>
    <w:p w14:paraId="4B4C19B3" w14:textId="77777777" w:rsidR="00234A9D" w:rsidRPr="00234A9D" w:rsidRDefault="00234A9D" w:rsidP="005D75B4">
      <w:pPr>
        <w:pStyle w:val="ListParagraph"/>
        <w:numPr>
          <w:ilvl w:val="1"/>
          <w:numId w:val="3"/>
        </w:numPr>
      </w:pPr>
      <w:r w:rsidRPr="00234A9D">
        <w:t>Risk &amp; Compliance</w:t>
      </w:r>
    </w:p>
    <w:p w14:paraId="4182C6D0" w14:textId="77777777" w:rsidR="00234A9D" w:rsidRPr="00234A9D" w:rsidRDefault="00234A9D" w:rsidP="005D75B4">
      <w:pPr>
        <w:pStyle w:val="ListParagraph"/>
        <w:numPr>
          <w:ilvl w:val="0"/>
          <w:numId w:val="2"/>
        </w:numPr>
      </w:pPr>
      <w:r w:rsidRPr="00234A9D">
        <w:t>Review the People KPI Dashboard each quarter, interrogate trends, exceptions, and mitigations, and escalate issues of material concern to the Board.</w:t>
      </w:r>
    </w:p>
    <w:p w14:paraId="6BE3AF82" w14:textId="7203D90A" w:rsidR="00234A9D" w:rsidRPr="00234A9D" w:rsidRDefault="006A391A" w:rsidP="005D75B4">
      <w:pPr>
        <w:pStyle w:val="ListParagraph"/>
        <w:numPr>
          <w:ilvl w:val="0"/>
          <w:numId w:val="2"/>
        </w:numPr>
      </w:pPr>
      <w:r>
        <w:t>Review</w:t>
      </w:r>
      <w:r w:rsidR="00234A9D" w:rsidRPr="00234A9D">
        <w:t xml:space="preserve"> workforce policies, systems, and processes</w:t>
      </w:r>
      <w:r>
        <w:t xml:space="preserve"> against</w:t>
      </w:r>
      <w:r w:rsidR="00234A9D" w:rsidRPr="00234A9D">
        <w:t xml:space="preserve"> legislative, regulatory, and contractual requirements.</w:t>
      </w:r>
    </w:p>
    <w:p w14:paraId="3768F6F7" w14:textId="7E92DAC8" w:rsidR="00234A9D" w:rsidRPr="00B009C7" w:rsidRDefault="00B009C7" w:rsidP="006768D4">
      <w:pPr>
        <w:pStyle w:val="Heading3"/>
      </w:pPr>
      <w:r>
        <w:br/>
      </w:r>
      <w:r w:rsidR="00234A9D" w:rsidRPr="00B009C7">
        <w:t>Planning and Delivery Oversight</w:t>
      </w:r>
    </w:p>
    <w:p w14:paraId="50D72251" w14:textId="77777777" w:rsidR="00234A9D" w:rsidRPr="00234A9D" w:rsidRDefault="00234A9D" w:rsidP="005D75B4">
      <w:pPr>
        <w:pStyle w:val="ListParagraph"/>
        <w:numPr>
          <w:ilvl w:val="0"/>
          <w:numId w:val="2"/>
        </w:numPr>
      </w:pPr>
      <w:r w:rsidRPr="00234A9D">
        <w:t>Provide oversight of major workforce-related programmes or changes (for example, pay and reward, workforce planning, leadership development, HR systems, or organisational change initiatives).</w:t>
      </w:r>
    </w:p>
    <w:p w14:paraId="17844816" w14:textId="3168F131" w:rsidR="00234A9D" w:rsidRPr="00234A9D" w:rsidRDefault="00234A9D" w:rsidP="005D75B4">
      <w:pPr>
        <w:pStyle w:val="ListParagraph"/>
        <w:numPr>
          <w:ilvl w:val="0"/>
          <w:numId w:val="2"/>
        </w:numPr>
      </w:pPr>
      <w:r w:rsidRPr="00234A9D">
        <w:t>Review how these programmes contribute to delivery of BrisDoc’s corporate objectives and risk mitigations.</w:t>
      </w:r>
      <w:r w:rsidR="00B009C7">
        <w:br/>
      </w:r>
    </w:p>
    <w:p w14:paraId="5709B75A" w14:textId="2E4CE987" w:rsidR="00234A9D" w:rsidRPr="00B009C7" w:rsidRDefault="00234A9D" w:rsidP="006768D4">
      <w:pPr>
        <w:pStyle w:val="Heading3"/>
      </w:pPr>
      <w:r w:rsidRPr="00B009C7">
        <w:t>Risk and Compliance</w:t>
      </w:r>
    </w:p>
    <w:p w14:paraId="2ACBE11F" w14:textId="77777777" w:rsidR="00234A9D" w:rsidRPr="00234A9D" w:rsidRDefault="00234A9D" w:rsidP="005D75B4">
      <w:pPr>
        <w:pStyle w:val="ListParagraph"/>
        <w:numPr>
          <w:ilvl w:val="0"/>
          <w:numId w:val="2"/>
        </w:numPr>
      </w:pPr>
      <w:r w:rsidRPr="00234A9D">
        <w:t>Monitor workforce-related risks within the Corporate Risk Register and provide assurance to the Board that controls and mitigations are effective.</w:t>
      </w:r>
    </w:p>
    <w:p w14:paraId="69BCFE88" w14:textId="5A64419B" w:rsidR="00234A9D" w:rsidRPr="00234A9D" w:rsidRDefault="00234A9D" w:rsidP="005D75B4">
      <w:pPr>
        <w:pStyle w:val="ListParagraph"/>
        <w:numPr>
          <w:ilvl w:val="0"/>
          <w:numId w:val="2"/>
        </w:numPr>
      </w:pPr>
      <w:r w:rsidRPr="00234A9D">
        <w:lastRenderedPageBreak/>
        <w:t>Receive assurance on compliance with employment law, equality legislation, and relevant governance codes.</w:t>
      </w:r>
      <w:r w:rsidR="00B009C7">
        <w:br/>
      </w:r>
    </w:p>
    <w:p w14:paraId="04FB3FB4" w14:textId="2D743431" w:rsidR="00234A9D" w:rsidRPr="00B009C7" w:rsidRDefault="00234A9D" w:rsidP="006768D4">
      <w:pPr>
        <w:pStyle w:val="Heading3"/>
      </w:pPr>
      <w:r w:rsidRPr="00B009C7">
        <w:t>Culture</w:t>
      </w:r>
    </w:p>
    <w:p w14:paraId="35C78574" w14:textId="7C925E11" w:rsidR="00234A9D" w:rsidRPr="00234A9D" w:rsidRDefault="00234A9D" w:rsidP="005D75B4">
      <w:pPr>
        <w:pStyle w:val="ListParagraph"/>
        <w:numPr>
          <w:ilvl w:val="0"/>
          <w:numId w:val="2"/>
        </w:numPr>
      </w:pPr>
      <w:r w:rsidRPr="00234A9D">
        <w:t>Re</w:t>
      </w:r>
      <w:r w:rsidR="006A391A">
        <w:t>view systems, processes and working practices to demon</w:t>
      </w:r>
      <w:r w:rsidR="00F96B81">
        <w:t>strate that B</w:t>
      </w:r>
      <w:r w:rsidRPr="00234A9D">
        <w:t>risDoc’s culture, values, and ethos are embedded across teams and reflected in engagement, communication, and reward.</w:t>
      </w:r>
    </w:p>
    <w:p w14:paraId="42577B4C" w14:textId="526BC4D7" w:rsidR="00234A9D" w:rsidRPr="00234A9D" w:rsidRDefault="00234A9D" w:rsidP="005D75B4">
      <w:pPr>
        <w:pStyle w:val="ListParagraph"/>
        <w:numPr>
          <w:ilvl w:val="0"/>
          <w:numId w:val="2"/>
        </w:numPr>
      </w:pPr>
      <w:r w:rsidRPr="00234A9D">
        <w:t xml:space="preserve">Review outcomes from the Our Voice survey, diversity pay gap </w:t>
      </w:r>
      <w:r w:rsidR="00965F41" w:rsidRPr="000569FB">
        <w:t xml:space="preserve">and workforce composition </w:t>
      </w:r>
      <w:r w:rsidRPr="000569FB">
        <w:t>reporting,</w:t>
      </w:r>
      <w:r w:rsidRPr="00234A9D">
        <w:t xml:space="preserve"> and wellbeing measures, and track agreed improvement actions.</w:t>
      </w:r>
      <w:r w:rsidR="00B009C7">
        <w:br/>
      </w:r>
    </w:p>
    <w:p w14:paraId="3121E961" w14:textId="5E02FB90" w:rsidR="00234A9D" w:rsidRPr="00B009C7" w:rsidRDefault="00234A9D" w:rsidP="006768D4">
      <w:pPr>
        <w:pStyle w:val="Heading3"/>
      </w:pPr>
      <w:r w:rsidRPr="00B009C7">
        <w:t>Reporting</w:t>
      </w:r>
    </w:p>
    <w:p w14:paraId="7D02EEC0" w14:textId="77777777" w:rsidR="00234A9D" w:rsidRPr="00234A9D" w:rsidRDefault="00234A9D" w:rsidP="005D75B4">
      <w:pPr>
        <w:pStyle w:val="ListParagraph"/>
        <w:numPr>
          <w:ilvl w:val="0"/>
          <w:numId w:val="2"/>
        </w:numPr>
      </w:pPr>
      <w:r w:rsidRPr="00234A9D">
        <w:t>Provide quarterly assurance to the Combined Board through a summary report highlighting exceptions, key trends, and areas for escalation.</w:t>
      </w:r>
    </w:p>
    <w:p w14:paraId="37212D46" w14:textId="00CCA990" w:rsidR="003539B4" w:rsidRPr="000569FB" w:rsidRDefault="00234A9D" w:rsidP="005D75B4">
      <w:pPr>
        <w:pStyle w:val="ListParagraph"/>
        <w:numPr>
          <w:ilvl w:val="0"/>
          <w:numId w:val="2"/>
        </w:numPr>
      </w:pPr>
      <w:r w:rsidRPr="000569FB">
        <w:t xml:space="preserve">Approve an annual People Committee report summarising </w:t>
      </w:r>
      <w:r w:rsidR="00965F41" w:rsidRPr="000569FB">
        <w:t xml:space="preserve">progress against performance indicators, </w:t>
      </w:r>
      <w:r w:rsidRPr="000569FB">
        <w:rPr>
          <w:strike/>
        </w:rPr>
        <w:t>assurance provided</w:t>
      </w:r>
      <w:r w:rsidRPr="000569FB">
        <w:t>, emerging risks</w:t>
      </w:r>
      <w:r w:rsidR="00965F41" w:rsidRPr="000569FB">
        <w:t xml:space="preserve"> and opportunities</w:t>
      </w:r>
      <w:r w:rsidRPr="000569FB">
        <w:t>, and future priorities.</w:t>
      </w:r>
      <w:r w:rsidR="00B009C7" w:rsidRPr="000569FB">
        <w:br/>
      </w:r>
    </w:p>
    <w:p w14:paraId="61BEF721" w14:textId="77777777" w:rsidR="00B009C7" w:rsidRPr="006768D4" w:rsidRDefault="00B009C7" w:rsidP="006768D4">
      <w:pPr>
        <w:pStyle w:val="Heading3"/>
        <w:rPr>
          <w:rStyle w:val="Strong"/>
          <w:b/>
          <w:bCs/>
        </w:rPr>
      </w:pPr>
      <w:r w:rsidRPr="006768D4">
        <w:rPr>
          <w:rStyle w:val="Strong"/>
          <w:b/>
          <w:bCs/>
        </w:rPr>
        <w:t>Policy and Framework Oversight</w:t>
      </w:r>
    </w:p>
    <w:p w14:paraId="7094FFFD" w14:textId="77777777" w:rsidR="00B009C7" w:rsidRDefault="00B009C7" w:rsidP="005D75B4">
      <w:pPr>
        <w:pStyle w:val="ListParagraph"/>
        <w:numPr>
          <w:ilvl w:val="0"/>
          <w:numId w:val="2"/>
        </w:numPr>
      </w:pPr>
      <w:r>
        <w:t>Review and, where delegated by the Combined Board, approve workforce-related policies, frameworks, and procedures within the Committee’s remit.</w:t>
      </w:r>
    </w:p>
    <w:p w14:paraId="1FE4B94B" w14:textId="6A5F999D" w:rsidR="00B009C7" w:rsidRDefault="00B009C7" w:rsidP="005D75B4">
      <w:pPr>
        <w:pStyle w:val="ListParagraph"/>
        <w:numPr>
          <w:ilvl w:val="0"/>
          <w:numId w:val="2"/>
        </w:numPr>
      </w:pPr>
      <w:r>
        <w:t>Recommend for Board approval any policies or frameworks with significant strategic, financial, or regulatory implications.</w:t>
      </w:r>
    </w:p>
    <w:p w14:paraId="6FA77C77" w14:textId="77777777" w:rsidR="00B633A6" w:rsidRDefault="00B633A6" w:rsidP="00B633A6">
      <w:pPr>
        <w:ind w:left="6"/>
      </w:pPr>
    </w:p>
    <w:p w14:paraId="7B9E5BF2" w14:textId="77777777" w:rsidR="00B633A6" w:rsidRPr="00366B0C" w:rsidRDefault="00B633A6" w:rsidP="00B633A6">
      <w:pPr>
        <w:autoSpaceDE w:val="0"/>
        <w:autoSpaceDN w:val="0"/>
        <w:adjustRightInd w:val="0"/>
        <w:spacing w:before="60" w:after="120" w:line="280" w:lineRule="atLeast"/>
        <w:rPr>
          <w:rFonts w:asciiTheme="majorHAnsi" w:eastAsia="Calibri" w:hAnsiTheme="majorHAnsi" w:cs="Arial"/>
          <w:b/>
          <w:bCs/>
          <w:color w:val="93430C"/>
          <w:sz w:val="32"/>
          <w:szCs w:val="32"/>
        </w:rPr>
      </w:pPr>
      <w:r w:rsidRPr="00366B0C">
        <w:rPr>
          <w:rFonts w:asciiTheme="majorHAnsi" w:eastAsia="Calibri" w:hAnsiTheme="majorHAnsi" w:cs="Arial"/>
          <w:b/>
          <w:bCs/>
          <w:color w:val="93430C"/>
          <w:sz w:val="32"/>
          <w:szCs w:val="32"/>
        </w:rPr>
        <w:t>Recommendations</w:t>
      </w:r>
    </w:p>
    <w:p w14:paraId="5F06A03B" w14:textId="77777777" w:rsidR="00CD4691" w:rsidRPr="00202A48" w:rsidRDefault="00CD4691" w:rsidP="00CD4691">
      <w:pPr>
        <w:autoSpaceDE w:val="0"/>
        <w:autoSpaceDN w:val="0"/>
        <w:adjustRightInd w:val="0"/>
        <w:spacing w:before="60" w:after="120" w:line="280" w:lineRule="atLeast"/>
        <w:rPr>
          <w:rFonts w:asciiTheme="minorHAnsi" w:eastAsia="Calibri" w:hAnsiTheme="minorHAnsi" w:cstheme="minorHAnsi"/>
        </w:rPr>
      </w:pPr>
      <w:r w:rsidRPr="00202A48">
        <w:rPr>
          <w:rFonts w:asciiTheme="minorHAnsi" w:eastAsia="Calibri" w:hAnsiTheme="minorHAnsi" w:cstheme="minorHAnsi"/>
        </w:rPr>
        <w:t>To recommend to the Board:</w:t>
      </w:r>
    </w:p>
    <w:p w14:paraId="0A394CEA" w14:textId="35F06C2E" w:rsidR="00CD4691" w:rsidRDefault="00CD4691" w:rsidP="005D75B4">
      <w:pPr>
        <w:pStyle w:val="ListParagraph"/>
        <w:numPr>
          <w:ilvl w:val="0"/>
          <w:numId w:val="8"/>
        </w:numPr>
      </w:pPr>
      <w:r>
        <w:t>The annual workforce plan.</w:t>
      </w:r>
    </w:p>
    <w:p w14:paraId="60410F19" w14:textId="1AB29BAB" w:rsidR="00517838" w:rsidRDefault="00517838" w:rsidP="00517838">
      <w:pPr>
        <w:pStyle w:val="ListParagraph"/>
        <w:numPr>
          <w:ilvl w:val="0"/>
          <w:numId w:val="8"/>
        </w:numPr>
        <w:spacing w:before="0" w:after="160" w:line="278" w:lineRule="auto"/>
        <w:contextualSpacing/>
      </w:pPr>
      <w:r w:rsidRPr="00BD4DE1">
        <w:t xml:space="preserve">The approval of </w:t>
      </w:r>
      <w:r>
        <w:t xml:space="preserve">company </w:t>
      </w:r>
      <w:r w:rsidRPr="00BD4DE1">
        <w:t xml:space="preserve">policies </w:t>
      </w:r>
      <w:r>
        <w:t>that involve</w:t>
      </w:r>
      <w:r w:rsidRPr="00BD4DE1">
        <w:t xml:space="preserve"> the appointment, dismissal and remuneration of staff</w:t>
      </w:r>
      <w:r>
        <w:t>, and their terms and conditions of employment or other contractual relationship.</w:t>
      </w:r>
    </w:p>
    <w:p w14:paraId="3FE5AD03" w14:textId="605EBAB2" w:rsidR="00CD2A5A" w:rsidRDefault="00A74171" w:rsidP="005D75B4">
      <w:pPr>
        <w:pStyle w:val="ListParagraph"/>
        <w:numPr>
          <w:ilvl w:val="0"/>
          <w:numId w:val="8"/>
        </w:numPr>
      </w:pPr>
      <w:r>
        <w:t>Any People-related policies or frameworks with significant strategic</w:t>
      </w:r>
      <w:r w:rsidR="00202A48">
        <w:t>,</w:t>
      </w:r>
      <w:r>
        <w:t xml:space="preserve"> financial or regula</w:t>
      </w:r>
      <w:r w:rsidR="00202A48">
        <w:t>tory implications, including the organisational remuneration framework</w:t>
      </w:r>
      <w:r w:rsidR="00517838">
        <w:t>.</w:t>
      </w:r>
    </w:p>
    <w:p w14:paraId="37970D61" w14:textId="3F890231" w:rsidR="007F3FDD" w:rsidRDefault="002B4D63" w:rsidP="003B2555">
      <w:pPr>
        <w:pStyle w:val="Heading2"/>
      </w:pPr>
      <w:bookmarkStart w:id="2" w:name="_Toc211602319"/>
      <w:r>
        <w:t>Delegat</w:t>
      </w:r>
      <w:bookmarkEnd w:id="2"/>
      <w:r w:rsidR="0090383C">
        <w:t>ed powers</w:t>
      </w:r>
    </w:p>
    <w:p w14:paraId="6FCBA6F8" w14:textId="77777777" w:rsidR="00C3567D" w:rsidRPr="00C3567D" w:rsidRDefault="00C3567D" w:rsidP="00C3567D">
      <w:pPr>
        <w:autoSpaceDE w:val="0"/>
        <w:autoSpaceDN w:val="0"/>
        <w:adjustRightInd w:val="0"/>
        <w:spacing w:before="60" w:after="120" w:line="280" w:lineRule="atLeast"/>
        <w:rPr>
          <w:rFonts w:asciiTheme="minorHAnsi" w:eastAsia="Calibri" w:hAnsiTheme="minorHAnsi" w:cstheme="minorHAnsi"/>
        </w:rPr>
      </w:pPr>
      <w:r w:rsidRPr="00C3567D">
        <w:rPr>
          <w:rFonts w:asciiTheme="minorHAnsi" w:eastAsia="Calibri" w:hAnsiTheme="minorHAnsi" w:cstheme="minorHAnsi"/>
        </w:rPr>
        <w:t>The exercise of the following delegated powers must be recorded in the Committee minutes and reported to the Board:</w:t>
      </w:r>
    </w:p>
    <w:p w14:paraId="6208344F" w14:textId="6C060F9A" w:rsidR="00C3567D" w:rsidRDefault="00261735" w:rsidP="002B4D63">
      <w:pPr>
        <w:spacing w:before="120" w:after="0"/>
      </w:pPr>
      <w:r>
        <w:t>Approval of workforce-related policies, framewor</w:t>
      </w:r>
      <w:r w:rsidR="006E41C2">
        <w:t>ks, protocols and procedures that fall within the Committee’s remit and that do not carry significant strategic, financial or regulatory risk.</w:t>
      </w:r>
    </w:p>
    <w:p w14:paraId="492A8765" w14:textId="43EA42EE" w:rsidR="003B2555" w:rsidRPr="003B2555" w:rsidRDefault="003B2555" w:rsidP="003B2555">
      <w:pPr>
        <w:pStyle w:val="Heading2"/>
      </w:pPr>
      <w:bookmarkStart w:id="3" w:name="_Toc211602320"/>
      <w:r w:rsidRPr="003B2555">
        <w:t>Delegat</w:t>
      </w:r>
      <w:bookmarkEnd w:id="3"/>
      <w:r w:rsidR="006E41C2">
        <w:t>ion</w:t>
      </w:r>
    </w:p>
    <w:p w14:paraId="2DF44D0C" w14:textId="77777777" w:rsidR="006E41C2" w:rsidRDefault="006E41C2" w:rsidP="006E41C2">
      <w:pPr>
        <w:spacing w:before="120" w:after="0"/>
      </w:pPr>
      <w:bookmarkStart w:id="4" w:name="_Toc211602321"/>
      <w:r>
        <w:t>The Committee may delegate operational scrutiny or project oversight to task and finish groups (for example, Health &amp; Wellbeing, EDI, or Recruitment &amp; Resourcing) but retains overall accountability for the assurance they provide.</w:t>
      </w:r>
    </w:p>
    <w:p w14:paraId="103C80A2" w14:textId="77777777" w:rsidR="006E41C2" w:rsidRDefault="006E41C2" w:rsidP="006E41C2">
      <w:pPr>
        <w:spacing w:before="120" w:after="0"/>
      </w:pPr>
      <w:r>
        <w:t>Each group will report into the Committee through the Director of People or designated lead.</w:t>
      </w:r>
    </w:p>
    <w:p w14:paraId="3D6AAE85" w14:textId="7561B5E8" w:rsidR="007E6CCB" w:rsidRPr="00366B0C" w:rsidRDefault="007E6CCB" w:rsidP="007E6CCB">
      <w:pPr>
        <w:autoSpaceDE w:val="0"/>
        <w:autoSpaceDN w:val="0"/>
        <w:adjustRightInd w:val="0"/>
        <w:spacing w:before="60" w:after="120" w:line="280" w:lineRule="atLeast"/>
        <w:outlineLvl w:val="0"/>
        <w:rPr>
          <w:rFonts w:asciiTheme="majorHAnsi" w:eastAsia="Calibri" w:hAnsiTheme="majorHAnsi" w:cs="Arial"/>
          <w:b/>
          <w:bCs/>
          <w:iCs/>
          <w:color w:val="93430C"/>
          <w:sz w:val="32"/>
          <w:szCs w:val="32"/>
        </w:rPr>
      </w:pPr>
      <w:r w:rsidRPr="00366B0C">
        <w:rPr>
          <w:rFonts w:asciiTheme="majorHAnsi" w:eastAsia="Calibri" w:hAnsiTheme="majorHAnsi" w:cs="Arial"/>
          <w:b/>
          <w:bCs/>
          <w:iCs/>
          <w:color w:val="93430C"/>
          <w:sz w:val="32"/>
          <w:szCs w:val="32"/>
        </w:rPr>
        <w:lastRenderedPageBreak/>
        <w:t xml:space="preserve">General </w:t>
      </w:r>
      <w:r>
        <w:rPr>
          <w:rFonts w:asciiTheme="majorHAnsi" w:eastAsia="Calibri" w:hAnsiTheme="majorHAnsi" w:cs="Arial"/>
          <w:b/>
          <w:bCs/>
          <w:iCs/>
          <w:color w:val="93430C"/>
          <w:sz w:val="32"/>
          <w:szCs w:val="32"/>
        </w:rPr>
        <w:t>people and workforce</w:t>
      </w:r>
      <w:r w:rsidRPr="00366B0C">
        <w:rPr>
          <w:rFonts w:asciiTheme="majorHAnsi" w:eastAsia="Calibri" w:hAnsiTheme="majorHAnsi" w:cs="Arial"/>
          <w:b/>
          <w:bCs/>
          <w:iCs/>
          <w:color w:val="93430C"/>
          <w:sz w:val="32"/>
          <w:szCs w:val="32"/>
        </w:rPr>
        <w:t xml:space="preserve"> matters</w:t>
      </w:r>
    </w:p>
    <w:p w14:paraId="40B5E787" w14:textId="12A85A2A" w:rsidR="007E6CCB" w:rsidRDefault="007E6CCB" w:rsidP="005D75B4">
      <w:pPr>
        <w:pStyle w:val="ListParagraph"/>
        <w:numPr>
          <w:ilvl w:val="0"/>
          <w:numId w:val="1"/>
        </w:numPr>
        <w:autoSpaceDE w:val="0"/>
        <w:autoSpaceDN w:val="0"/>
        <w:adjustRightInd w:val="0"/>
        <w:spacing w:before="60" w:after="120" w:line="280" w:lineRule="atLeast"/>
      </w:pPr>
      <w:r w:rsidRPr="00E0329D">
        <w:t>Acting as a sounding board and source of advice to the</w:t>
      </w:r>
      <w:r>
        <w:t xml:space="preserve"> Director of People and Organisational Development</w:t>
      </w:r>
      <w:r w:rsidRPr="00E0329D">
        <w:t>.</w:t>
      </w:r>
    </w:p>
    <w:p w14:paraId="5223B74D" w14:textId="77777777" w:rsidR="007E6CCB" w:rsidRPr="00E0329D" w:rsidRDefault="007E6CCB" w:rsidP="005D75B4">
      <w:pPr>
        <w:pStyle w:val="ListParagraph"/>
        <w:numPr>
          <w:ilvl w:val="0"/>
          <w:numId w:val="1"/>
        </w:numPr>
        <w:autoSpaceDE w:val="0"/>
        <w:autoSpaceDN w:val="0"/>
        <w:adjustRightInd w:val="0"/>
        <w:spacing w:before="60" w:after="120" w:line="280" w:lineRule="atLeast"/>
      </w:pPr>
      <w:r w:rsidRPr="00E0329D">
        <w:t>When requested by the Board, undertaking tasks that are within the Committee’s terms of reference.</w:t>
      </w:r>
    </w:p>
    <w:p w14:paraId="3F3BD525" w14:textId="408C8329" w:rsidR="007E6CCB" w:rsidRDefault="00965F41" w:rsidP="005D75B4">
      <w:pPr>
        <w:pStyle w:val="ListParagraph"/>
        <w:numPr>
          <w:ilvl w:val="0"/>
          <w:numId w:val="1"/>
        </w:numPr>
        <w:autoSpaceDE w:val="0"/>
        <w:autoSpaceDN w:val="0"/>
        <w:adjustRightInd w:val="0"/>
        <w:spacing w:before="60" w:after="120" w:line="280" w:lineRule="atLeast"/>
      </w:pPr>
      <w:r w:rsidRPr="000569FB">
        <w:t>Maintaining oversight</w:t>
      </w:r>
      <w:r w:rsidR="007E6CCB" w:rsidRPr="000569FB">
        <w:t xml:space="preserve"> and</w:t>
      </w:r>
      <w:r w:rsidR="007E6CCB" w:rsidRPr="00E0329D">
        <w:t xml:space="preserve"> providing advice, where appropriate, on potential and actual </w:t>
      </w:r>
      <w:r w:rsidR="007E6CCB">
        <w:t xml:space="preserve">people and workforce-related </w:t>
      </w:r>
      <w:r w:rsidR="007E6CCB" w:rsidRPr="00E0329D">
        <w:t>opportunities</w:t>
      </w:r>
      <w:r w:rsidR="007E6CCB">
        <w:t>, threats</w:t>
      </w:r>
      <w:r w:rsidR="007E6CCB" w:rsidRPr="00E0329D">
        <w:t xml:space="preserve"> and risks.</w:t>
      </w:r>
    </w:p>
    <w:p w14:paraId="5C3FA6B3" w14:textId="77777777" w:rsidR="00E07738" w:rsidRDefault="00E07738" w:rsidP="00E07738">
      <w:pPr>
        <w:autoSpaceDE w:val="0"/>
        <w:autoSpaceDN w:val="0"/>
        <w:adjustRightInd w:val="0"/>
        <w:spacing w:before="60" w:after="120" w:line="280" w:lineRule="atLeast"/>
      </w:pPr>
    </w:p>
    <w:p w14:paraId="5205AE20" w14:textId="6BB3149F" w:rsidR="00E07738" w:rsidRDefault="00E07738" w:rsidP="00E07738">
      <w:pPr>
        <w:pStyle w:val="Heading2"/>
      </w:pPr>
      <w:bookmarkStart w:id="5" w:name="_Toc102657585"/>
      <w:bookmarkStart w:id="6" w:name="_Toc109745004"/>
      <w:r w:rsidRPr="00366B0C">
        <w:t>Co-owners Council Engagement</w:t>
      </w:r>
      <w:bookmarkEnd w:id="5"/>
      <w:bookmarkEnd w:id="6"/>
    </w:p>
    <w:p w14:paraId="0080A42D" w14:textId="77777777" w:rsidR="00702738" w:rsidRPr="00E322E3" w:rsidRDefault="00702738" w:rsidP="00702738">
      <w:pPr>
        <w:rPr>
          <w:rFonts w:ascii="Aptos" w:hAnsi="Aptos"/>
        </w:rPr>
      </w:pPr>
      <w:r w:rsidRPr="00393E46">
        <w:rPr>
          <w:rFonts w:ascii="Aptos" w:hAnsi="Aptos"/>
        </w:rPr>
        <w:t xml:space="preserve">The </w:t>
      </w:r>
      <w:r>
        <w:rPr>
          <w:rFonts w:ascii="Aptos" w:hAnsi="Aptos"/>
        </w:rPr>
        <w:t xml:space="preserve">Committee </w:t>
      </w:r>
      <w:r w:rsidRPr="00393E46">
        <w:rPr>
          <w:rFonts w:ascii="Aptos" w:hAnsi="Aptos"/>
        </w:rPr>
        <w:t xml:space="preserve">will maintain a clear channel of communication with the </w:t>
      </w:r>
      <w:r>
        <w:rPr>
          <w:rFonts w:ascii="Aptos" w:hAnsi="Aptos"/>
        </w:rPr>
        <w:t>C</w:t>
      </w:r>
      <w:r w:rsidRPr="00393E46">
        <w:rPr>
          <w:rFonts w:ascii="Aptos" w:hAnsi="Aptos"/>
        </w:rPr>
        <w:t>o-</w:t>
      </w:r>
      <w:r>
        <w:rPr>
          <w:rFonts w:ascii="Aptos" w:hAnsi="Aptos"/>
        </w:rPr>
        <w:t>O</w:t>
      </w:r>
      <w:r w:rsidRPr="00393E46">
        <w:rPr>
          <w:rFonts w:ascii="Aptos" w:hAnsi="Aptos"/>
        </w:rPr>
        <w:t xml:space="preserve">wners </w:t>
      </w:r>
      <w:r>
        <w:rPr>
          <w:rFonts w:ascii="Aptos" w:hAnsi="Aptos"/>
        </w:rPr>
        <w:t>C</w:t>
      </w:r>
      <w:r w:rsidRPr="00393E46">
        <w:rPr>
          <w:rFonts w:ascii="Aptos" w:hAnsi="Aptos"/>
        </w:rPr>
        <w:t>ouncil, so that both parties are able to share information and consult one another as appropriate</w:t>
      </w:r>
      <w:r>
        <w:rPr>
          <w:rFonts w:ascii="Aptos" w:hAnsi="Aptos"/>
        </w:rPr>
        <w:t>, and so that Co-Owners are appropriately involved in the Committee’s decision-making</w:t>
      </w:r>
      <w:r w:rsidRPr="00393E46">
        <w:rPr>
          <w:rFonts w:ascii="Aptos" w:hAnsi="Aptos"/>
        </w:rPr>
        <w:t xml:space="preserve">. </w:t>
      </w:r>
      <w:r>
        <w:rPr>
          <w:rFonts w:ascii="Aptos" w:hAnsi="Aptos"/>
        </w:rPr>
        <w:t>The key conduit for this communication, sharing, consultation and involvement is via the appointment of a Co-Owner Director (or nominated member of the Co-Owners Council) as a member of the Committee.</w:t>
      </w:r>
    </w:p>
    <w:p w14:paraId="6227060C" w14:textId="77777777" w:rsidR="00702738" w:rsidRPr="00E55259" w:rsidRDefault="00702738" w:rsidP="00702738">
      <w:pPr>
        <w:rPr>
          <w:rFonts w:ascii="Aptos" w:hAnsi="Aptos"/>
        </w:rPr>
      </w:pPr>
      <w:r w:rsidRPr="00392C2C">
        <w:rPr>
          <w:rFonts w:ascii="Aptos" w:hAnsi="Aptos"/>
        </w:rPr>
        <w:t xml:space="preserve">The Chair of </w:t>
      </w:r>
      <w:r>
        <w:rPr>
          <w:rFonts w:ascii="Aptos" w:hAnsi="Aptos"/>
        </w:rPr>
        <w:t xml:space="preserve">the </w:t>
      </w:r>
      <w:r w:rsidRPr="00392C2C">
        <w:rPr>
          <w:rFonts w:ascii="Aptos" w:hAnsi="Aptos"/>
        </w:rPr>
        <w:t>Committee will also maintain regular contact with the Employee Director</w:t>
      </w:r>
      <w:r>
        <w:rPr>
          <w:rFonts w:ascii="Aptos" w:hAnsi="Aptos"/>
        </w:rPr>
        <w:t xml:space="preserve"> (or nominated member of the Co-Owners Council)</w:t>
      </w:r>
      <w:r w:rsidRPr="00392C2C">
        <w:rPr>
          <w:rFonts w:ascii="Aptos" w:hAnsi="Aptos"/>
        </w:rPr>
        <w:t xml:space="preserve"> to ensure they are kept updated on key discussions, issues and decisions. In addition, each</w:t>
      </w:r>
      <w:r>
        <w:rPr>
          <w:rFonts w:ascii="Aptos" w:hAnsi="Aptos"/>
        </w:rPr>
        <w:t xml:space="preserve"> </w:t>
      </w:r>
      <w:r w:rsidRPr="00392C2C">
        <w:rPr>
          <w:rFonts w:ascii="Aptos" w:hAnsi="Aptos"/>
        </w:rPr>
        <w:t>Committee</w:t>
      </w:r>
      <w:r>
        <w:rPr>
          <w:rFonts w:ascii="Aptos" w:hAnsi="Aptos"/>
        </w:rPr>
        <w:t xml:space="preserve"> meeting</w:t>
      </w:r>
      <w:r w:rsidRPr="00392C2C">
        <w:rPr>
          <w:rFonts w:ascii="Aptos" w:hAnsi="Aptos"/>
        </w:rPr>
        <w:t xml:space="preserve"> will include a standing agenda item inviting the Employee Director</w:t>
      </w:r>
      <w:r>
        <w:rPr>
          <w:rFonts w:ascii="Aptos" w:hAnsi="Aptos"/>
        </w:rPr>
        <w:t xml:space="preserve"> (or Co-Owner Council member)</w:t>
      </w:r>
      <w:r w:rsidRPr="00392C2C">
        <w:rPr>
          <w:rFonts w:ascii="Aptos" w:hAnsi="Aptos"/>
        </w:rPr>
        <w:t xml:space="preserve"> to provide feedback on how the meeting went, supporting effective co-owner engagement.</w:t>
      </w:r>
    </w:p>
    <w:p w14:paraId="1E8A51F3" w14:textId="77777777" w:rsidR="00E07738" w:rsidRPr="00E0329D" w:rsidRDefault="00E07738" w:rsidP="00E07738">
      <w:pPr>
        <w:autoSpaceDE w:val="0"/>
        <w:autoSpaceDN w:val="0"/>
        <w:adjustRightInd w:val="0"/>
        <w:spacing w:before="60" w:after="120" w:line="280" w:lineRule="atLeast"/>
      </w:pPr>
    </w:p>
    <w:p w14:paraId="07ECDF74" w14:textId="77777777" w:rsidR="007E6CCB" w:rsidRDefault="007E6CCB" w:rsidP="006E41C2">
      <w:pPr>
        <w:spacing w:before="120" w:after="0"/>
      </w:pPr>
    </w:p>
    <w:p w14:paraId="383C657C" w14:textId="25FA1892" w:rsidR="000435A3" w:rsidRPr="00F80E44" w:rsidRDefault="003B6FA1" w:rsidP="003B2555">
      <w:pPr>
        <w:pStyle w:val="Heading2"/>
      </w:pPr>
      <w:r>
        <w:t>Membership</w:t>
      </w:r>
      <w:bookmarkEnd w:id="4"/>
    </w:p>
    <w:p w14:paraId="7FD4DB4D" w14:textId="77777777" w:rsidR="00FF5627" w:rsidRPr="00FF5627" w:rsidRDefault="00FF5627" w:rsidP="00FF5627">
      <w:pPr>
        <w:autoSpaceDE w:val="0"/>
        <w:autoSpaceDN w:val="0"/>
        <w:adjustRightInd w:val="0"/>
        <w:spacing w:before="60" w:after="120" w:line="280" w:lineRule="atLeast"/>
        <w:rPr>
          <w:rFonts w:eastAsia="Calibri" w:cs="Arial"/>
        </w:rPr>
      </w:pPr>
      <w:r w:rsidRPr="00FF5627">
        <w:rPr>
          <w:rFonts w:eastAsia="Calibri" w:cs="Arial"/>
        </w:rPr>
        <w:t>The Committee membership will consist of a minimum of six members, with at least two Non-Executive Directors and one Co-Owner Director (or member of the Co-Owners Council) nominated from and approved by the Board, plus three members drawn from the strategic leadership team, as follows:</w:t>
      </w:r>
    </w:p>
    <w:p w14:paraId="23EE246B" w14:textId="382EB75B" w:rsidR="00FF5627" w:rsidRPr="00FF5627" w:rsidRDefault="00FF5627" w:rsidP="005D75B4">
      <w:pPr>
        <w:pStyle w:val="ListParagraph"/>
        <w:numPr>
          <w:ilvl w:val="0"/>
          <w:numId w:val="1"/>
        </w:numPr>
        <w:autoSpaceDE w:val="0"/>
        <w:autoSpaceDN w:val="0"/>
        <w:adjustRightInd w:val="0"/>
        <w:spacing w:before="60" w:after="120" w:line="280" w:lineRule="atLeast"/>
        <w:rPr>
          <w:rFonts w:cs="Arial"/>
        </w:rPr>
      </w:pPr>
      <w:r w:rsidRPr="00FF5627">
        <w:rPr>
          <w:rFonts w:cs="Arial"/>
        </w:rPr>
        <w:t>the lead non-exec director on</w:t>
      </w:r>
      <w:r w:rsidR="003B5CAF">
        <w:rPr>
          <w:rFonts w:cs="Arial"/>
        </w:rPr>
        <w:t xml:space="preserve"> People/HR matters</w:t>
      </w:r>
      <w:r w:rsidRPr="00FF5627">
        <w:rPr>
          <w:rFonts w:cs="Arial"/>
        </w:rPr>
        <w:t>, who will chair the committee;</w:t>
      </w:r>
    </w:p>
    <w:p w14:paraId="01F7D1B3" w14:textId="77777777" w:rsidR="00FF5627" w:rsidRPr="00FF5627" w:rsidRDefault="00FF5627" w:rsidP="005D75B4">
      <w:pPr>
        <w:pStyle w:val="ListParagraph"/>
        <w:numPr>
          <w:ilvl w:val="0"/>
          <w:numId w:val="1"/>
        </w:numPr>
        <w:autoSpaceDE w:val="0"/>
        <w:autoSpaceDN w:val="0"/>
        <w:adjustRightInd w:val="0"/>
        <w:spacing w:before="60" w:after="120" w:line="280" w:lineRule="atLeast"/>
        <w:rPr>
          <w:rFonts w:cs="Arial"/>
        </w:rPr>
      </w:pPr>
      <w:r w:rsidRPr="00FF5627">
        <w:rPr>
          <w:rFonts w:cs="Arial"/>
        </w:rPr>
        <w:t>one other non-executive director;</w:t>
      </w:r>
    </w:p>
    <w:p w14:paraId="1B3475AE" w14:textId="7288AF10" w:rsidR="00FF5627" w:rsidRPr="00FF5627" w:rsidRDefault="00FF5627" w:rsidP="005D75B4">
      <w:pPr>
        <w:pStyle w:val="ListParagraph"/>
        <w:numPr>
          <w:ilvl w:val="0"/>
          <w:numId w:val="1"/>
        </w:numPr>
        <w:autoSpaceDE w:val="0"/>
        <w:autoSpaceDN w:val="0"/>
        <w:adjustRightInd w:val="0"/>
        <w:spacing w:before="60" w:after="120" w:line="280" w:lineRule="atLeast"/>
        <w:rPr>
          <w:rFonts w:cs="Arial"/>
        </w:rPr>
      </w:pPr>
      <w:r w:rsidRPr="00FF5627">
        <w:rPr>
          <w:rFonts w:cs="Arial"/>
        </w:rPr>
        <w:t>one Co-Owner Director</w:t>
      </w:r>
      <w:r w:rsidR="00E74797">
        <w:rPr>
          <w:rFonts w:cs="Arial"/>
        </w:rPr>
        <w:t xml:space="preserve"> (or member of the Co-Owners Council)</w:t>
      </w:r>
      <w:r w:rsidR="007509FB">
        <w:rPr>
          <w:rFonts w:cs="Arial"/>
        </w:rPr>
        <w:t>;</w:t>
      </w:r>
    </w:p>
    <w:p w14:paraId="469349C9" w14:textId="4FAA99CC" w:rsidR="00FF5627" w:rsidRPr="00FF5627" w:rsidRDefault="00FF5627" w:rsidP="005D75B4">
      <w:pPr>
        <w:pStyle w:val="ListParagraph"/>
        <w:numPr>
          <w:ilvl w:val="0"/>
          <w:numId w:val="1"/>
        </w:numPr>
        <w:autoSpaceDE w:val="0"/>
        <w:autoSpaceDN w:val="0"/>
        <w:adjustRightInd w:val="0"/>
        <w:spacing w:before="60" w:after="120" w:line="280" w:lineRule="atLeast"/>
        <w:rPr>
          <w:rFonts w:cs="Arial"/>
        </w:rPr>
      </w:pPr>
      <w:r w:rsidRPr="00FF5627">
        <w:rPr>
          <w:rFonts w:cs="Arial"/>
        </w:rPr>
        <w:t>Director</w:t>
      </w:r>
      <w:r w:rsidR="007509FB">
        <w:rPr>
          <w:rFonts w:cs="Arial"/>
        </w:rPr>
        <w:t xml:space="preserve"> of People &amp; OD</w:t>
      </w:r>
      <w:r w:rsidRPr="00FF5627">
        <w:rPr>
          <w:rFonts w:cs="Arial"/>
        </w:rPr>
        <w:t xml:space="preserve">; </w:t>
      </w:r>
    </w:p>
    <w:p w14:paraId="7ADAD34B" w14:textId="77777777" w:rsidR="00FF5627" w:rsidRPr="00FF5627" w:rsidRDefault="00FF5627" w:rsidP="005D75B4">
      <w:pPr>
        <w:pStyle w:val="ListParagraph"/>
        <w:numPr>
          <w:ilvl w:val="0"/>
          <w:numId w:val="1"/>
        </w:numPr>
        <w:autoSpaceDE w:val="0"/>
        <w:autoSpaceDN w:val="0"/>
        <w:adjustRightInd w:val="0"/>
        <w:spacing w:before="60" w:after="120" w:line="280" w:lineRule="atLeast"/>
        <w:rPr>
          <w:rFonts w:cs="Arial"/>
        </w:rPr>
      </w:pPr>
      <w:r w:rsidRPr="00FF5627">
        <w:rPr>
          <w:rFonts w:cs="Arial"/>
        </w:rPr>
        <w:t>Deputy Medical Director - IUC</w:t>
      </w:r>
    </w:p>
    <w:p w14:paraId="37E8E426" w14:textId="77777777" w:rsidR="00FF5627" w:rsidRPr="00FF5627" w:rsidRDefault="00FF5627" w:rsidP="005D75B4">
      <w:pPr>
        <w:pStyle w:val="ListParagraph"/>
        <w:numPr>
          <w:ilvl w:val="0"/>
          <w:numId w:val="1"/>
        </w:numPr>
        <w:autoSpaceDE w:val="0"/>
        <w:autoSpaceDN w:val="0"/>
        <w:adjustRightInd w:val="0"/>
        <w:spacing w:before="60" w:after="120" w:line="280" w:lineRule="atLeast"/>
        <w:rPr>
          <w:rFonts w:cs="Arial"/>
        </w:rPr>
      </w:pPr>
      <w:r w:rsidRPr="00FF5627">
        <w:rPr>
          <w:rFonts w:cs="Arial"/>
        </w:rPr>
        <w:t>Deputy Medical Director – Practice Services</w:t>
      </w:r>
    </w:p>
    <w:p w14:paraId="430E6F94" w14:textId="77777777" w:rsidR="003B5CAF" w:rsidRPr="004B54E7" w:rsidRDefault="003B5CAF" w:rsidP="005D75B4">
      <w:pPr>
        <w:pStyle w:val="NormalWeb"/>
        <w:numPr>
          <w:ilvl w:val="0"/>
          <w:numId w:val="1"/>
        </w:numPr>
        <w:spacing w:before="60" w:beforeAutospacing="0" w:after="120" w:afterAutospacing="0" w:line="280" w:lineRule="atLeast"/>
        <w:ind w:left="1077"/>
        <w:rPr>
          <w:rFonts w:ascii="Arial" w:hAnsi="Arial" w:cs="Arial"/>
          <w:sz w:val="22"/>
          <w:szCs w:val="22"/>
        </w:rPr>
      </w:pPr>
      <w:r w:rsidRPr="004B54E7">
        <w:rPr>
          <w:rFonts w:ascii="Arial" w:hAnsi="Arial" w:cs="Arial"/>
          <w:sz w:val="22"/>
          <w:szCs w:val="22"/>
        </w:rPr>
        <w:t>Head of Practice Services</w:t>
      </w:r>
    </w:p>
    <w:p w14:paraId="1BDB5E34" w14:textId="77777777" w:rsidR="003B5CAF" w:rsidRPr="004B54E7" w:rsidRDefault="003B5CAF" w:rsidP="005D75B4">
      <w:pPr>
        <w:pStyle w:val="NormalWeb"/>
        <w:numPr>
          <w:ilvl w:val="0"/>
          <w:numId w:val="1"/>
        </w:numPr>
        <w:spacing w:before="60" w:beforeAutospacing="0" w:after="120" w:afterAutospacing="0" w:line="280" w:lineRule="atLeast"/>
        <w:ind w:left="1077"/>
        <w:rPr>
          <w:rFonts w:ascii="Arial" w:hAnsi="Arial" w:cs="Arial"/>
          <w:sz w:val="22"/>
          <w:szCs w:val="22"/>
        </w:rPr>
      </w:pPr>
      <w:r w:rsidRPr="004B54E7">
        <w:rPr>
          <w:rFonts w:ascii="Arial" w:hAnsi="Arial" w:cs="Arial"/>
          <w:sz w:val="22"/>
          <w:szCs w:val="22"/>
        </w:rPr>
        <w:t>Head of IUC</w:t>
      </w:r>
    </w:p>
    <w:p w14:paraId="240F0A7A" w14:textId="77777777" w:rsidR="00FF5627" w:rsidRPr="00FF5627" w:rsidRDefault="00FF5627" w:rsidP="00FF5627">
      <w:pPr>
        <w:ind w:left="720"/>
        <w:rPr>
          <w:rFonts w:cs="Arial"/>
        </w:rPr>
      </w:pPr>
    </w:p>
    <w:p w14:paraId="7011B313" w14:textId="77777777" w:rsidR="00FF5627" w:rsidRPr="00FF5627" w:rsidRDefault="00FF5627" w:rsidP="00FF5627">
      <w:pPr>
        <w:autoSpaceDE w:val="0"/>
        <w:autoSpaceDN w:val="0"/>
        <w:adjustRightInd w:val="0"/>
        <w:spacing w:before="60" w:after="120" w:line="280" w:lineRule="atLeast"/>
        <w:rPr>
          <w:rFonts w:eastAsia="Calibri" w:cs="Arial"/>
        </w:rPr>
      </w:pPr>
      <w:r w:rsidRPr="00FF5627">
        <w:rPr>
          <w:rFonts w:eastAsia="Calibri" w:cs="Arial"/>
        </w:rPr>
        <w:t>The following postholders will also be asked to attend meetings:</w:t>
      </w:r>
    </w:p>
    <w:p w14:paraId="17CDBD86" w14:textId="77777777" w:rsidR="008508E8" w:rsidRDefault="008508E8" w:rsidP="005D75B4">
      <w:pPr>
        <w:pStyle w:val="NormalWeb"/>
        <w:numPr>
          <w:ilvl w:val="0"/>
          <w:numId w:val="5"/>
        </w:numPr>
        <w:rPr>
          <w:rFonts w:ascii="Arial" w:hAnsi="Arial" w:cs="Arial"/>
          <w:sz w:val="22"/>
          <w:szCs w:val="22"/>
        </w:rPr>
      </w:pPr>
      <w:r>
        <w:rPr>
          <w:rFonts w:ascii="Arial" w:hAnsi="Arial" w:cs="Arial"/>
          <w:sz w:val="22"/>
          <w:szCs w:val="22"/>
        </w:rPr>
        <w:lastRenderedPageBreak/>
        <w:t>Governance Manager</w:t>
      </w:r>
    </w:p>
    <w:p w14:paraId="1852B078" w14:textId="1EB81A18" w:rsidR="008508E8" w:rsidRDefault="002B4D63" w:rsidP="005D75B4">
      <w:pPr>
        <w:pStyle w:val="NormalWeb"/>
        <w:numPr>
          <w:ilvl w:val="0"/>
          <w:numId w:val="5"/>
        </w:numPr>
        <w:rPr>
          <w:rFonts w:ascii="Arial" w:hAnsi="Arial" w:cs="Arial"/>
          <w:sz w:val="22"/>
          <w:szCs w:val="22"/>
        </w:rPr>
      </w:pPr>
      <w:r w:rsidRPr="002B4D63">
        <w:rPr>
          <w:rFonts w:ascii="Arial" w:hAnsi="Arial" w:cs="Arial"/>
          <w:sz w:val="22"/>
          <w:szCs w:val="22"/>
        </w:rPr>
        <w:t>People Business Partner</w:t>
      </w:r>
      <w:r w:rsidR="008508E8">
        <w:rPr>
          <w:rFonts w:ascii="Arial" w:hAnsi="Arial" w:cs="Arial"/>
          <w:sz w:val="22"/>
          <w:szCs w:val="22"/>
        </w:rPr>
        <w:t>s</w:t>
      </w:r>
    </w:p>
    <w:p w14:paraId="1DA9DC2C" w14:textId="3D80B844" w:rsidR="002B4D63" w:rsidRDefault="002B4D63" w:rsidP="005D75B4">
      <w:pPr>
        <w:pStyle w:val="NormalWeb"/>
        <w:numPr>
          <w:ilvl w:val="0"/>
          <w:numId w:val="5"/>
        </w:numPr>
        <w:rPr>
          <w:rFonts w:ascii="Arial" w:hAnsi="Arial" w:cs="Arial"/>
          <w:sz w:val="22"/>
          <w:szCs w:val="22"/>
        </w:rPr>
      </w:pPr>
      <w:r w:rsidRPr="002B4D63">
        <w:rPr>
          <w:rFonts w:ascii="Arial" w:hAnsi="Arial" w:cs="Arial"/>
          <w:sz w:val="22"/>
          <w:szCs w:val="22"/>
        </w:rPr>
        <w:t>People Operations Manage</w:t>
      </w:r>
      <w:r w:rsidR="008508E8">
        <w:rPr>
          <w:rFonts w:ascii="Arial" w:hAnsi="Arial" w:cs="Arial"/>
          <w:sz w:val="22"/>
          <w:szCs w:val="22"/>
        </w:rPr>
        <w:t>r</w:t>
      </w:r>
    </w:p>
    <w:p w14:paraId="798E2D06" w14:textId="3C0D953B" w:rsidR="008508E8" w:rsidRDefault="008508E8" w:rsidP="005D75B4">
      <w:pPr>
        <w:pStyle w:val="NormalWeb"/>
        <w:numPr>
          <w:ilvl w:val="0"/>
          <w:numId w:val="5"/>
        </w:numPr>
        <w:rPr>
          <w:rFonts w:ascii="Arial" w:hAnsi="Arial" w:cs="Arial"/>
          <w:sz w:val="22"/>
          <w:szCs w:val="22"/>
        </w:rPr>
      </w:pPr>
      <w:r>
        <w:rPr>
          <w:rFonts w:ascii="Arial" w:hAnsi="Arial" w:cs="Arial"/>
          <w:sz w:val="22"/>
          <w:szCs w:val="22"/>
        </w:rPr>
        <w:t>Payroll &amp; Pensions Manager</w:t>
      </w:r>
    </w:p>
    <w:p w14:paraId="04200B23" w14:textId="68EB0A4D" w:rsidR="008508E8" w:rsidRDefault="008508E8" w:rsidP="005D75B4">
      <w:pPr>
        <w:pStyle w:val="NormalWeb"/>
        <w:numPr>
          <w:ilvl w:val="0"/>
          <w:numId w:val="5"/>
        </w:numPr>
        <w:rPr>
          <w:rFonts w:ascii="Arial" w:hAnsi="Arial" w:cs="Arial"/>
          <w:sz w:val="22"/>
          <w:szCs w:val="22"/>
        </w:rPr>
      </w:pPr>
      <w:r>
        <w:rPr>
          <w:rFonts w:ascii="Arial" w:hAnsi="Arial" w:cs="Arial"/>
          <w:sz w:val="22"/>
          <w:szCs w:val="22"/>
        </w:rPr>
        <w:t>Comms &amp; Marketing Lead</w:t>
      </w:r>
    </w:p>
    <w:p w14:paraId="6A89B3E9" w14:textId="73D51FB6" w:rsidR="008508E8" w:rsidRDefault="009D217C" w:rsidP="003B2555">
      <w:pPr>
        <w:pStyle w:val="Heading2"/>
      </w:pPr>
      <w:bookmarkStart w:id="7" w:name="_Toc211602322"/>
      <w:r>
        <w:t>Frequency</w:t>
      </w:r>
      <w:r w:rsidR="008508E8">
        <w:t xml:space="preserve"> </w:t>
      </w:r>
      <w:bookmarkEnd w:id="7"/>
    </w:p>
    <w:p w14:paraId="6EA2C98E" w14:textId="0FC839DC" w:rsidR="00BB169A" w:rsidRPr="00BB169A" w:rsidRDefault="008508E8" w:rsidP="00BB169A">
      <w:pPr>
        <w:jc w:val="both"/>
        <w:rPr>
          <w:rFonts w:asciiTheme="minorHAnsi" w:hAnsiTheme="minorHAnsi" w:cstheme="minorHAnsi"/>
        </w:rPr>
      </w:pPr>
      <w:r w:rsidRPr="00BB169A">
        <w:rPr>
          <w:rFonts w:asciiTheme="minorHAnsi" w:hAnsiTheme="minorHAnsi" w:cstheme="minorHAnsi"/>
        </w:rPr>
        <w:t>The Committee will meet quarterly.</w:t>
      </w:r>
      <w:r w:rsidR="00BB169A" w:rsidRPr="00BB169A">
        <w:rPr>
          <w:rFonts w:asciiTheme="minorHAnsi" w:hAnsiTheme="minorHAnsi" w:cstheme="minorHAnsi"/>
        </w:rPr>
        <w:t xml:space="preserve"> Additional exceptional meetings can be called by the Chair as required.</w:t>
      </w:r>
    </w:p>
    <w:p w14:paraId="7F23D26C" w14:textId="77777777" w:rsidR="009578C7" w:rsidRPr="009578C7" w:rsidRDefault="009578C7" w:rsidP="009578C7">
      <w:pPr>
        <w:autoSpaceDE w:val="0"/>
        <w:autoSpaceDN w:val="0"/>
        <w:adjustRightInd w:val="0"/>
        <w:spacing w:before="60" w:after="120" w:line="280" w:lineRule="atLeast"/>
        <w:rPr>
          <w:rFonts w:asciiTheme="majorHAnsi" w:eastAsia="Calibri" w:hAnsiTheme="majorHAnsi" w:cs="Arial"/>
          <w:color w:val="93430C"/>
          <w:sz w:val="32"/>
          <w:szCs w:val="32"/>
        </w:rPr>
      </w:pPr>
      <w:r w:rsidRPr="009578C7">
        <w:rPr>
          <w:rFonts w:asciiTheme="majorHAnsi" w:eastAsia="Calibri" w:hAnsiTheme="majorHAnsi" w:cs="Arial"/>
          <w:color w:val="93430C"/>
          <w:sz w:val="32"/>
          <w:szCs w:val="32"/>
        </w:rPr>
        <w:t>Meeting secretariat</w:t>
      </w:r>
    </w:p>
    <w:p w14:paraId="1C4C70F9" w14:textId="0289B756" w:rsidR="009578C7" w:rsidRPr="009578C7" w:rsidRDefault="009578C7" w:rsidP="009578C7">
      <w:pPr>
        <w:autoSpaceDE w:val="0"/>
        <w:autoSpaceDN w:val="0"/>
        <w:adjustRightInd w:val="0"/>
        <w:spacing w:before="60" w:after="120" w:line="280" w:lineRule="atLeast"/>
        <w:rPr>
          <w:rFonts w:asciiTheme="minorHAnsi" w:eastAsia="Calibri" w:hAnsiTheme="minorHAnsi" w:cstheme="minorHAnsi"/>
        </w:rPr>
      </w:pPr>
      <w:r w:rsidRPr="009578C7">
        <w:rPr>
          <w:rFonts w:asciiTheme="minorHAnsi" w:eastAsia="Calibri" w:hAnsiTheme="minorHAnsi" w:cstheme="minorHAnsi"/>
        </w:rPr>
        <w:t xml:space="preserve">The </w:t>
      </w:r>
      <w:r>
        <w:rPr>
          <w:rFonts w:asciiTheme="minorHAnsi" w:eastAsia="Calibri" w:hAnsiTheme="minorHAnsi" w:cstheme="minorHAnsi"/>
        </w:rPr>
        <w:t xml:space="preserve">Director of People &amp; OD </w:t>
      </w:r>
      <w:r w:rsidRPr="009578C7">
        <w:rPr>
          <w:rFonts w:asciiTheme="minorHAnsi" w:eastAsia="Calibri" w:hAnsiTheme="minorHAnsi" w:cstheme="minorHAnsi"/>
        </w:rPr>
        <w:t>will be the primary contact for the Committee and whose Team will provide secretarial servicing for the Committee</w:t>
      </w:r>
      <w:r w:rsidR="0037495F">
        <w:rPr>
          <w:rFonts w:asciiTheme="minorHAnsi" w:eastAsia="Calibri" w:hAnsiTheme="minorHAnsi" w:cstheme="minorHAnsi"/>
        </w:rPr>
        <w:t>.</w:t>
      </w:r>
      <w:r w:rsidRPr="009578C7">
        <w:rPr>
          <w:rFonts w:asciiTheme="minorHAnsi" w:eastAsia="Calibri" w:hAnsiTheme="minorHAnsi" w:cstheme="minorHAnsi"/>
        </w:rPr>
        <w:t xml:space="preserve"> </w:t>
      </w:r>
    </w:p>
    <w:p w14:paraId="33A61833" w14:textId="05FB18A0" w:rsidR="00205DC4" w:rsidRPr="0037495F" w:rsidRDefault="00205DC4" w:rsidP="00205DC4">
      <w:pPr>
        <w:ind w:left="6"/>
        <w:rPr>
          <w:rFonts w:asciiTheme="majorHAnsi" w:hAnsiTheme="majorHAnsi"/>
          <w:color w:val="93430C"/>
          <w:sz w:val="32"/>
          <w:szCs w:val="32"/>
        </w:rPr>
      </w:pPr>
      <w:r w:rsidRPr="0037495F">
        <w:rPr>
          <w:rFonts w:asciiTheme="majorHAnsi" w:hAnsiTheme="majorHAnsi"/>
          <w:color w:val="93430C"/>
          <w:sz w:val="32"/>
          <w:szCs w:val="32"/>
        </w:rPr>
        <w:t>Quoracy</w:t>
      </w:r>
    </w:p>
    <w:p w14:paraId="7A61A105" w14:textId="39F0ED4F" w:rsidR="007B027D" w:rsidRDefault="000736A3" w:rsidP="000736A3">
      <w:pPr>
        <w:autoSpaceDE w:val="0"/>
        <w:autoSpaceDN w:val="0"/>
        <w:adjustRightInd w:val="0"/>
        <w:spacing w:before="60" w:after="120" w:line="280" w:lineRule="atLeast"/>
        <w:rPr>
          <w:rFonts w:asciiTheme="minorHAnsi" w:eastAsia="Calibri" w:hAnsiTheme="minorHAnsi" w:cstheme="minorHAnsi"/>
        </w:rPr>
      </w:pPr>
      <w:bookmarkStart w:id="8" w:name="_Toc211602323"/>
      <w:r w:rsidRPr="000736A3">
        <w:rPr>
          <w:rFonts w:asciiTheme="minorHAnsi" w:eastAsia="Calibri" w:hAnsiTheme="minorHAnsi" w:cstheme="minorHAnsi"/>
        </w:rPr>
        <w:t>The quorum for the Committee will be four members, comprising at least three directors, of whom two must be Non-Executive Directors (including the chair of the committee) and one SLT Director</w:t>
      </w:r>
      <w:r>
        <w:rPr>
          <w:rFonts w:asciiTheme="minorHAnsi" w:eastAsia="Calibri" w:hAnsiTheme="minorHAnsi" w:cstheme="minorHAnsi"/>
        </w:rPr>
        <w:t>.</w:t>
      </w:r>
    </w:p>
    <w:p w14:paraId="6CCC7E2A" w14:textId="77777777" w:rsidR="007B027D" w:rsidRPr="007B027D" w:rsidRDefault="007B027D" w:rsidP="007B027D">
      <w:pPr>
        <w:pStyle w:val="Heading2"/>
        <w:rPr>
          <w:rFonts w:eastAsia="Calibri"/>
        </w:rPr>
      </w:pPr>
      <w:r w:rsidRPr="007B027D">
        <w:rPr>
          <w:rFonts w:eastAsia="Calibri"/>
        </w:rPr>
        <w:t>Chair’s Action</w:t>
      </w:r>
    </w:p>
    <w:p w14:paraId="4DB2C0ED" w14:textId="156137E5" w:rsidR="007B027D" w:rsidRDefault="007B027D" w:rsidP="007B027D">
      <w:pPr>
        <w:autoSpaceDE w:val="0"/>
        <w:autoSpaceDN w:val="0"/>
        <w:adjustRightInd w:val="0"/>
        <w:spacing w:before="60" w:after="120" w:line="280" w:lineRule="atLeast"/>
        <w:rPr>
          <w:rFonts w:asciiTheme="minorHAnsi" w:eastAsia="Calibri" w:hAnsiTheme="minorHAnsi" w:cstheme="minorHAnsi"/>
        </w:rPr>
      </w:pPr>
      <w:r w:rsidRPr="007B027D">
        <w:rPr>
          <w:rFonts w:asciiTheme="minorHAnsi" w:eastAsia="Calibri" w:hAnsiTheme="minorHAnsi" w:cstheme="minorHAnsi"/>
        </w:rPr>
        <w:t>In the absence of a quorum, the Chair of the Committee is authorised to take action on behalf of the Committee where it is necessary to do so. Any decisions taken under Chair’s action will be reported to the next Committee</w:t>
      </w:r>
      <w:r>
        <w:rPr>
          <w:rFonts w:asciiTheme="minorHAnsi" w:eastAsia="Calibri" w:hAnsiTheme="minorHAnsi" w:cstheme="minorHAnsi"/>
        </w:rPr>
        <w:t xml:space="preserve"> meeting</w:t>
      </w:r>
      <w:r w:rsidRPr="007B027D">
        <w:rPr>
          <w:rFonts w:asciiTheme="minorHAnsi" w:eastAsia="Calibri" w:hAnsiTheme="minorHAnsi" w:cstheme="minorHAnsi"/>
        </w:rPr>
        <w:t xml:space="preserve"> for noting or ratification.</w:t>
      </w:r>
    </w:p>
    <w:p w14:paraId="239B5F35" w14:textId="77777777" w:rsidR="00464F1E" w:rsidRPr="00FB1DDD" w:rsidRDefault="00464F1E" w:rsidP="00464F1E">
      <w:pPr>
        <w:autoSpaceDE w:val="0"/>
        <w:autoSpaceDN w:val="0"/>
        <w:adjustRightInd w:val="0"/>
        <w:spacing w:before="60" w:after="120" w:line="280" w:lineRule="atLeast"/>
        <w:rPr>
          <w:rFonts w:asciiTheme="majorHAnsi" w:eastAsia="Calibri" w:hAnsiTheme="majorHAnsi" w:cs="Arial"/>
          <w:color w:val="93430C"/>
          <w:sz w:val="32"/>
          <w:szCs w:val="32"/>
        </w:rPr>
      </w:pPr>
      <w:r w:rsidRPr="00FB1DDD">
        <w:rPr>
          <w:rFonts w:asciiTheme="majorHAnsi" w:eastAsia="Calibri" w:hAnsiTheme="majorHAnsi" w:cs="Arial"/>
          <w:color w:val="93430C"/>
          <w:sz w:val="32"/>
          <w:szCs w:val="32"/>
        </w:rPr>
        <w:t>Decision-making</w:t>
      </w:r>
    </w:p>
    <w:p w14:paraId="1AA02CFA" w14:textId="77777777" w:rsidR="00464F1E" w:rsidRDefault="00464F1E" w:rsidP="00464F1E">
      <w:pPr>
        <w:autoSpaceDE w:val="0"/>
        <w:autoSpaceDN w:val="0"/>
        <w:adjustRightInd w:val="0"/>
        <w:spacing w:before="60" w:after="120" w:line="280" w:lineRule="atLeast"/>
        <w:rPr>
          <w:rFonts w:asciiTheme="minorHAnsi" w:eastAsia="Calibri" w:hAnsiTheme="minorHAnsi" w:cstheme="minorHAnsi"/>
        </w:rPr>
      </w:pPr>
      <w:r w:rsidRPr="00464F1E">
        <w:rPr>
          <w:rFonts w:asciiTheme="minorHAnsi" w:eastAsia="Calibri" w:hAnsiTheme="minorHAnsi" w:cstheme="minorHAnsi"/>
        </w:rPr>
        <w:t>Decisions are ultimately the responsibility of the Committee members, but in reaching their decisions and recommendations they will, so far as possible, take account of the views of the other directors, senior leaders/managers and any advisors. In the event that a vote is required on any matter or decisions, then the Committee Chair will have the casting vote.</w:t>
      </w:r>
    </w:p>
    <w:p w14:paraId="46587AF8" w14:textId="77777777" w:rsidR="00DC1EF6" w:rsidRPr="0043001C" w:rsidRDefault="00DC1EF6" w:rsidP="00DC1EF6">
      <w:pPr>
        <w:pStyle w:val="paragraph"/>
        <w:spacing w:before="60" w:beforeAutospacing="0" w:after="120" w:afterAutospacing="0"/>
        <w:textAlignment w:val="baseline"/>
        <w:rPr>
          <w:rFonts w:asciiTheme="majorHAnsi" w:eastAsia="Calibri" w:hAnsiTheme="majorHAnsi" w:cs="Arial"/>
          <w:color w:val="93430C"/>
          <w:sz w:val="32"/>
          <w:szCs w:val="32"/>
        </w:rPr>
      </w:pPr>
      <w:r w:rsidRPr="0043001C">
        <w:rPr>
          <w:rFonts w:asciiTheme="majorHAnsi" w:eastAsia="Calibri" w:hAnsiTheme="majorHAnsi" w:cs="Arial"/>
          <w:color w:val="93430C"/>
          <w:sz w:val="32"/>
          <w:szCs w:val="32"/>
        </w:rPr>
        <w:t>Review</w:t>
      </w:r>
    </w:p>
    <w:p w14:paraId="4B7244C6" w14:textId="77777777" w:rsidR="00DC1EF6" w:rsidRPr="005E2592" w:rsidRDefault="00DC1EF6" w:rsidP="00DC1EF6">
      <w:pPr>
        <w:pStyle w:val="paragraph"/>
        <w:spacing w:before="60" w:beforeAutospacing="0" w:after="120" w:afterAutospacing="0"/>
        <w:textAlignment w:val="baseline"/>
        <w:rPr>
          <w:rFonts w:asciiTheme="minorHAnsi" w:hAnsiTheme="minorHAnsi" w:cstheme="minorHAnsi"/>
          <w:sz w:val="22"/>
          <w:szCs w:val="22"/>
        </w:rPr>
      </w:pPr>
      <w:r w:rsidRPr="005E2592">
        <w:rPr>
          <w:rStyle w:val="normaltextrun"/>
          <w:rFonts w:asciiTheme="minorHAnsi" w:eastAsiaTheme="majorEastAsia" w:hAnsiTheme="minorHAnsi" w:cstheme="minorHAnsi"/>
          <w:sz w:val="22"/>
          <w:szCs w:val="22"/>
        </w:rPr>
        <w:t>The Committee shall, at least once every two years, review its own performance and terms of reference to ensure it is operating effectively and recommend any changes it considers necessary to the Board for approval.</w:t>
      </w:r>
      <w:r w:rsidRPr="005E2592">
        <w:rPr>
          <w:rStyle w:val="eop"/>
          <w:rFonts w:asciiTheme="minorHAnsi" w:eastAsiaTheme="majorEastAsia" w:hAnsiTheme="minorHAnsi" w:cstheme="minorHAnsi"/>
          <w:sz w:val="22"/>
          <w:szCs w:val="22"/>
        </w:rPr>
        <w:t> </w:t>
      </w:r>
    </w:p>
    <w:p w14:paraId="0ED2C190" w14:textId="77777777" w:rsidR="00DC1EF6" w:rsidRPr="00464F1E" w:rsidRDefault="00DC1EF6" w:rsidP="00464F1E">
      <w:pPr>
        <w:autoSpaceDE w:val="0"/>
        <w:autoSpaceDN w:val="0"/>
        <w:adjustRightInd w:val="0"/>
        <w:spacing w:before="60" w:after="120" w:line="280" w:lineRule="atLeast"/>
        <w:rPr>
          <w:rFonts w:asciiTheme="minorHAnsi" w:eastAsia="Calibri" w:hAnsiTheme="minorHAnsi" w:cstheme="minorHAnsi"/>
        </w:rPr>
      </w:pPr>
    </w:p>
    <w:p w14:paraId="1061BCDB" w14:textId="6E50A76E" w:rsidR="009D217C" w:rsidRPr="00F80E44" w:rsidRDefault="009D217C" w:rsidP="003B2555">
      <w:pPr>
        <w:pStyle w:val="Heading2"/>
      </w:pPr>
      <w:r>
        <w:t>Reporting and Accountability</w:t>
      </w:r>
      <w:bookmarkEnd w:id="8"/>
    </w:p>
    <w:p w14:paraId="4C08E792" w14:textId="16FC765B" w:rsidR="008508E8" w:rsidRPr="008508E8" w:rsidRDefault="008508E8" w:rsidP="00B009C7">
      <w:pPr>
        <w:pStyle w:val="ListParagraph"/>
      </w:pPr>
      <w:r w:rsidRPr="008508E8">
        <w:t>The Committee reports to the Combined Board, providing assurance on workforce themes and highlighting material risks or exceptions</w:t>
      </w:r>
      <w:r w:rsidR="00B009C7">
        <w:t>, and reporting any policy approvals made under delegated authority</w:t>
      </w:r>
      <w:r w:rsidRPr="008508E8">
        <w:t>.</w:t>
      </w:r>
    </w:p>
    <w:p w14:paraId="3EF02364" w14:textId="77777777" w:rsidR="008508E8" w:rsidRPr="008508E8" w:rsidRDefault="008508E8" w:rsidP="00B009C7">
      <w:pPr>
        <w:pStyle w:val="ListParagraph"/>
      </w:pPr>
      <w:r w:rsidRPr="008508E8">
        <w:t>Minutes will be submitted to the Board following each meeting.</w:t>
      </w:r>
    </w:p>
    <w:p w14:paraId="66930516" w14:textId="77777777" w:rsidR="008508E8" w:rsidRPr="008508E8" w:rsidRDefault="008508E8" w:rsidP="00B009C7">
      <w:pPr>
        <w:pStyle w:val="ListParagraph"/>
      </w:pPr>
      <w:r w:rsidRPr="008508E8">
        <w:t>The Chair (or Deputy) will present a verbal or written summary to the Combined Board each quarter.</w:t>
      </w:r>
    </w:p>
    <w:p w14:paraId="0D008851" w14:textId="20C8E63C" w:rsidR="008508E8" w:rsidRDefault="008508E8" w:rsidP="00B009C7">
      <w:pPr>
        <w:pStyle w:val="ListParagraph"/>
      </w:pPr>
      <w:r w:rsidRPr="008508E8">
        <w:t>The Committee may escalate urgent issues to the Board between meetings if required.</w:t>
      </w:r>
    </w:p>
    <w:p w14:paraId="08579FBF" w14:textId="77777777" w:rsidR="001829F3" w:rsidRDefault="001829F3" w:rsidP="001829F3"/>
    <w:p w14:paraId="1D311616" w14:textId="69D30092" w:rsidR="001829F3" w:rsidRDefault="001829F3" w:rsidP="001829F3">
      <w:r>
        <w:t xml:space="preserve">Meetings will be structured in line with </w:t>
      </w:r>
      <w:r w:rsidRPr="001829F3">
        <w:rPr>
          <w:rStyle w:val="Strong"/>
          <w:b w:val="0"/>
          <w:bCs w:val="0"/>
        </w:rPr>
        <w:t>Appendix B: People Committee Agenda Template</w:t>
      </w:r>
      <w:r>
        <w:t>, which provides a consistent format for assurance reporting, thematic review, and escalation to the Combined Board</w:t>
      </w:r>
    </w:p>
    <w:p w14:paraId="60DC4B8C" w14:textId="47F13EBC" w:rsidR="004907AF" w:rsidRDefault="004907AF" w:rsidP="003B2555">
      <w:pPr>
        <w:pStyle w:val="Heading2"/>
      </w:pPr>
      <w:bookmarkStart w:id="9" w:name="_Toc211602324"/>
      <w:r>
        <w:t>Review</w:t>
      </w:r>
      <w:bookmarkEnd w:id="9"/>
    </w:p>
    <w:p w14:paraId="04CAE887" w14:textId="77480340" w:rsidR="008508E8" w:rsidRDefault="004449A2" w:rsidP="00B009C7">
      <w:pPr>
        <w:pStyle w:val="ListParagraph"/>
      </w:pPr>
      <w:r w:rsidRPr="004449A2">
        <w:t>The Terms of Reference for the People Committee will be reviewed annually by the Committee and submitted to the Combined Board for approval as part of the annual governance review cycle.</w:t>
      </w:r>
    </w:p>
    <w:p w14:paraId="7E4B28D3" w14:textId="532B0E2C" w:rsidR="004907AF" w:rsidRDefault="008508E8" w:rsidP="00B009C7">
      <w:pPr>
        <w:pStyle w:val="ListParagraph"/>
      </w:pPr>
      <w:r>
        <w:t>The People KPI framework and reporting themes will be reviewed each year to ensure continuing relevance.</w:t>
      </w:r>
    </w:p>
    <w:p w14:paraId="657B7F24" w14:textId="26FE68A1" w:rsidR="001829F3" w:rsidRDefault="001829F3" w:rsidP="00B009C7">
      <w:pPr>
        <w:pStyle w:val="ListParagraph"/>
        <w:rPr>
          <w:b/>
          <w:bCs/>
        </w:rPr>
      </w:pPr>
      <w:r>
        <w:t xml:space="preserve">A full record of amendments, authorship, and approval history is maintained in </w:t>
      </w:r>
      <w:r w:rsidRPr="001829F3">
        <w:rPr>
          <w:rStyle w:val="Strong"/>
          <w:b w:val="0"/>
          <w:bCs w:val="0"/>
        </w:rPr>
        <w:t>Appendix C: Version Control</w:t>
      </w:r>
      <w:r w:rsidRPr="001829F3">
        <w:rPr>
          <w:b/>
          <w:bCs/>
        </w:rPr>
        <w:t>.</w:t>
      </w:r>
    </w:p>
    <w:p w14:paraId="206D85D2" w14:textId="05A26D5C" w:rsidR="00590246" w:rsidRPr="00590246" w:rsidRDefault="00590246" w:rsidP="00B009C7">
      <w:pPr>
        <w:pStyle w:val="ListParagraph"/>
        <w:rPr>
          <w:b/>
          <w:bCs/>
        </w:rPr>
      </w:pPr>
      <w:r>
        <w:t>The Committee will undertake an annual self-assessment of its effectiveness and report outcomes and any improvement actions to the Combined Board.</w:t>
      </w:r>
    </w:p>
    <w:p w14:paraId="2C310FD1" w14:textId="77777777" w:rsidR="001D1217" w:rsidRDefault="001D1217" w:rsidP="001D1217">
      <w:pPr>
        <w:pStyle w:val="ListParagraph"/>
      </w:pPr>
      <w:bookmarkStart w:id="10" w:name="_Toc211602325"/>
      <w:bookmarkEnd w:id="1"/>
      <w:r w:rsidRPr="001D1217">
        <w:t>This Terms of Reference has been reviewed for potential equality impacts in line with BrisDoc’s commitment to equity, diversity, and inclusion. No adverse impacts were identified. A summary of the Equality Impact Assessment is provided in Appendix D</w:t>
      </w:r>
      <w:r>
        <w:t>.</w:t>
      </w:r>
    </w:p>
    <w:p w14:paraId="42751287" w14:textId="77777777" w:rsidR="005D5E39" w:rsidRDefault="005D5E39" w:rsidP="005D5E39"/>
    <w:p w14:paraId="496A3440" w14:textId="77777777" w:rsidR="005D5E39" w:rsidRPr="00F80E44" w:rsidRDefault="005D5E39" w:rsidP="005D5E39">
      <w:pPr>
        <w:pStyle w:val="Heading2"/>
      </w:pPr>
      <w:bookmarkStart w:id="11" w:name="_Toc109745008"/>
      <w:r>
        <w:t>Reporting and Accountability</w:t>
      </w:r>
      <w:bookmarkEnd w:id="11"/>
    </w:p>
    <w:p w14:paraId="33C937B0" w14:textId="6E690B19" w:rsidR="005D5E39" w:rsidRDefault="005D5E39" w:rsidP="005D5E39">
      <w:r w:rsidRPr="005D5E39">
        <w:rPr>
          <w:rFonts w:asciiTheme="minorHAnsi" w:eastAsia="Calibri" w:hAnsiTheme="minorHAnsi" w:cstheme="minorHAnsi"/>
        </w:rPr>
        <w:t xml:space="preserve">Agendas and minutes of meetings will be circulated to all Combined Corporate Board Directors and Strategic Leadership Team members. The Committee Chair, or another nominated committee member, will report to the Board on its meetings. </w:t>
      </w:r>
    </w:p>
    <w:p w14:paraId="45420048" w14:textId="0BB14F04" w:rsidR="008508E8" w:rsidRPr="00E0032E" w:rsidRDefault="008508E8" w:rsidP="003B2555">
      <w:pPr>
        <w:pStyle w:val="Heading2"/>
      </w:pPr>
      <w:r w:rsidRPr="00E0032E">
        <w:t>Alignment with Governance Framework</w:t>
      </w:r>
      <w:bookmarkEnd w:id="10"/>
    </w:p>
    <w:p w14:paraId="4BCACFC2" w14:textId="716E5A68" w:rsidR="00F96334" w:rsidRPr="00F96334" w:rsidRDefault="00F96334" w:rsidP="00F96334">
      <w:pPr>
        <w:pStyle w:val="NormalWeb"/>
        <w:spacing w:before="120"/>
        <w:rPr>
          <w:rFonts w:ascii="Arial" w:hAnsi="Arial" w:cs="Arial"/>
          <w:sz w:val="22"/>
          <w:szCs w:val="22"/>
        </w:rPr>
      </w:pPr>
      <w:r>
        <w:rPr>
          <w:rFonts w:ascii="Arial" w:hAnsi="Arial" w:cs="Arial"/>
          <w:sz w:val="22"/>
          <w:szCs w:val="22"/>
        </w:rPr>
        <w:t>T</w:t>
      </w:r>
      <w:r w:rsidRPr="00F96334">
        <w:rPr>
          <w:rFonts w:ascii="Arial" w:hAnsi="Arial" w:cs="Arial"/>
          <w:sz w:val="22"/>
          <w:szCs w:val="22"/>
        </w:rPr>
        <w:t>his Terms of Reference aligns with the Workforce Assurance &amp; Oversight Framework (September 2025) approved by the Combined Board, which defines the assurance flow between the Combined Board, the People Committee, and the Strategic Leadership Team.</w:t>
      </w:r>
    </w:p>
    <w:p w14:paraId="607F5731" w14:textId="77777777" w:rsidR="00F96334" w:rsidRPr="00F96334" w:rsidRDefault="00F96334" w:rsidP="00F96334">
      <w:pPr>
        <w:pStyle w:val="NormalWeb"/>
        <w:spacing w:before="120"/>
        <w:rPr>
          <w:rFonts w:ascii="Arial" w:hAnsi="Arial" w:cs="Arial"/>
          <w:sz w:val="22"/>
          <w:szCs w:val="22"/>
        </w:rPr>
      </w:pPr>
      <w:r w:rsidRPr="00F96334">
        <w:rPr>
          <w:rFonts w:ascii="Arial" w:hAnsi="Arial" w:cs="Arial"/>
          <w:sz w:val="22"/>
          <w:szCs w:val="22"/>
        </w:rPr>
        <w:t>The Combined Board receives a high-level workforce assurance dashboard and narrative each quarter. The People Committee provides detailed scrutiny of the underlying data, trends, and mitigations across all services and workforce groups, giving the Board assurance that issues are identified, managed, and escalated appropriately.</w:t>
      </w:r>
    </w:p>
    <w:p w14:paraId="7B736ED7" w14:textId="52559D78" w:rsidR="008508E8" w:rsidRDefault="00F96334" w:rsidP="00F96334">
      <w:pPr>
        <w:pStyle w:val="NormalWeb"/>
        <w:spacing w:before="120" w:beforeAutospacing="0"/>
        <w:rPr>
          <w:rFonts w:ascii="Arial" w:hAnsi="Arial" w:cs="Arial"/>
          <w:sz w:val="22"/>
          <w:szCs w:val="22"/>
        </w:rPr>
      </w:pPr>
      <w:r w:rsidRPr="00F96334">
        <w:rPr>
          <w:rFonts w:ascii="Arial" w:hAnsi="Arial" w:cs="Arial"/>
          <w:sz w:val="22"/>
          <w:szCs w:val="22"/>
        </w:rPr>
        <w:t>The detail of the information to be received by the Committee is set out in Appendix A: People Committee Reporting Framework, which outlines the KPIs, data segmentation, frequency, and escalation criteria through which assurance will be provided.</w:t>
      </w:r>
    </w:p>
    <w:p w14:paraId="0A849095" w14:textId="77777777" w:rsidR="00590246" w:rsidRDefault="00590246" w:rsidP="00590246">
      <w:pPr>
        <w:pStyle w:val="Heading2"/>
      </w:pPr>
      <w:bookmarkStart w:id="12" w:name="_Toc211602326"/>
      <w:r>
        <w:t>Links to Other Committees</w:t>
      </w:r>
      <w:bookmarkEnd w:id="12"/>
    </w:p>
    <w:p w14:paraId="7B0FF5BA" w14:textId="34ED4F0C" w:rsidR="00E0032E" w:rsidRDefault="00590246" w:rsidP="00590246">
      <w:r>
        <w:t>The People Committee will liaise with other Board committees as required to ensure alignment and avoid duplication, particularly with the Finance</w:t>
      </w:r>
      <w:r w:rsidR="005D5E39">
        <w:t xml:space="preserve">, Risk </w:t>
      </w:r>
      <w:r w:rsidR="00CD4393">
        <w:t xml:space="preserve">&amp; Digital Committee </w:t>
      </w:r>
      <w:r w:rsidR="005D5E39">
        <w:t xml:space="preserve">and </w:t>
      </w:r>
      <w:r>
        <w:t xml:space="preserve">on pay and workforce costs, and the </w:t>
      </w:r>
      <w:r w:rsidR="007B4232">
        <w:t xml:space="preserve">Clinical </w:t>
      </w:r>
      <w:r>
        <w:t>Quality</w:t>
      </w:r>
      <w:r w:rsidR="007B4232">
        <w:t xml:space="preserve"> and Performance</w:t>
      </w:r>
      <w:r>
        <w:t xml:space="preserve"> Committee on workforce-related clinical risks.</w:t>
      </w:r>
      <w:r w:rsidR="00E0032E">
        <w:br w:type="page"/>
      </w:r>
    </w:p>
    <w:p w14:paraId="4FDE38E3" w14:textId="77777777" w:rsidR="00F96334" w:rsidRDefault="00F96334" w:rsidP="00E0032E">
      <w:pPr>
        <w:rPr>
          <w:b/>
          <w:bCs/>
        </w:rPr>
        <w:sectPr w:rsidR="00F96334" w:rsidSect="00201C81">
          <w:headerReference w:type="default" r:id="rId8"/>
          <w:footerReference w:type="default" r:id="rId9"/>
          <w:headerReference w:type="first" r:id="rId10"/>
          <w:pgSz w:w="11910" w:h="16840"/>
          <w:pgMar w:top="1843" w:right="1278" w:bottom="1134" w:left="1276" w:header="794" w:footer="170" w:gutter="0"/>
          <w:cols w:space="720"/>
          <w:titlePg/>
          <w:docGrid w:linePitch="299"/>
        </w:sectPr>
      </w:pPr>
    </w:p>
    <w:p w14:paraId="26692A3A" w14:textId="50BEAF0B" w:rsidR="00E0032E" w:rsidRPr="00E0032E" w:rsidRDefault="00E0032E" w:rsidP="003B2555">
      <w:pPr>
        <w:pStyle w:val="Heading2"/>
      </w:pPr>
      <w:bookmarkStart w:id="13" w:name="_Toc211602327"/>
      <w:r w:rsidRPr="00E0032E">
        <w:lastRenderedPageBreak/>
        <w:t>Appendix A</w:t>
      </w:r>
      <w:r w:rsidR="004449A2">
        <w:t>:</w:t>
      </w:r>
      <w:r w:rsidRPr="00E0032E">
        <w:t xml:space="preserve"> People Committee Reporting Framework</w:t>
      </w:r>
      <w:bookmarkEnd w:id="13"/>
    </w:p>
    <w:p w14:paraId="44E53168" w14:textId="66A357FC" w:rsidR="00E0032E" w:rsidRPr="00E0032E" w:rsidRDefault="00E0032E" w:rsidP="00E0032E">
      <w:r w:rsidRPr="00E0032E">
        <w:t>The People Committee will receive detailed quarterly and annual reports aligned to the Board’s Workforce Assurance &amp; Oversight Framework.</w:t>
      </w:r>
      <w:r w:rsidRPr="00E0032E">
        <w:br/>
        <w:t>Reports will include segmented data and analysis to enable assurance on equality, sustainability, and consistency across the organisation.</w:t>
      </w:r>
      <w:r w:rsidR="00F96334">
        <w:t xml:space="preserve"> </w:t>
      </w:r>
      <w:r w:rsidRPr="00E0032E">
        <w:t>Each theme includes both the headline KPI (as reported to the Combined Board) and the granularity expected at Committee level.</w:t>
      </w:r>
    </w:p>
    <w:tbl>
      <w:tblPr>
        <w:tblW w:w="1417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16"/>
        <w:gridCol w:w="2278"/>
        <w:gridCol w:w="3466"/>
        <w:gridCol w:w="1482"/>
        <w:gridCol w:w="2665"/>
        <w:gridCol w:w="2863"/>
      </w:tblGrid>
      <w:tr w:rsidR="00E0032E" w:rsidRPr="00E0032E" w14:paraId="2FB2F621" w14:textId="77777777" w:rsidTr="00F96334">
        <w:trPr>
          <w:tblHeader/>
          <w:tblCellSpacing w:w="15" w:type="dxa"/>
        </w:trPr>
        <w:tc>
          <w:tcPr>
            <w:tcW w:w="1371" w:type="dxa"/>
            <w:shd w:val="clear" w:color="auto" w:fill="007777" w:themeFill="accent1"/>
            <w:vAlign w:val="center"/>
            <w:hideMark/>
          </w:tcPr>
          <w:p w14:paraId="27A53607" w14:textId="77777777" w:rsidR="00E0032E" w:rsidRPr="00E0032E" w:rsidRDefault="00E0032E" w:rsidP="00F96334">
            <w:pPr>
              <w:jc w:val="center"/>
              <w:rPr>
                <w:b/>
                <w:bCs/>
                <w:color w:val="FFFFFF" w:themeColor="background1"/>
              </w:rPr>
            </w:pPr>
            <w:r w:rsidRPr="00E0032E">
              <w:rPr>
                <w:b/>
                <w:bCs/>
                <w:color w:val="FFFFFF" w:themeColor="background1"/>
              </w:rPr>
              <w:t>Theme</w:t>
            </w:r>
          </w:p>
        </w:tc>
        <w:tc>
          <w:tcPr>
            <w:tcW w:w="2248" w:type="dxa"/>
            <w:shd w:val="clear" w:color="auto" w:fill="007777" w:themeFill="accent1"/>
            <w:vAlign w:val="center"/>
            <w:hideMark/>
          </w:tcPr>
          <w:p w14:paraId="08167CD1" w14:textId="77777777" w:rsidR="00E0032E" w:rsidRPr="00E0032E" w:rsidRDefault="00E0032E" w:rsidP="00E0032E">
            <w:pPr>
              <w:rPr>
                <w:b/>
                <w:bCs/>
                <w:color w:val="FFFFFF" w:themeColor="background1"/>
              </w:rPr>
            </w:pPr>
            <w:r w:rsidRPr="00E0032E">
              <w:rPr>
                <w:b/>
                <w:bCs/>
                <w:color w:val="FFFFFF" w:themeColor="background1"/>
              </w:rPr>
              <w:t>KPI / Measure</w:t>
            </w:r>
          </w:p>
        </w:tc>
        <w:tc>
          <w:tcPr>
            <w:tcW w:w="0" w:type="auto"/>
            <w:shd w:val="clear" w:color="auto" w:fill="007777" w:themeFill="accent1"/>
            <w:vAlign w:val="center"/>
            <w:hideMark/>
          </w:tcPr>
          <w:p w14:paraId="61BF2255" w14:textId="77777777" w:rsidR="00E0032E" w:rsidRPr="00E0032E" w:rsidRDefault="00E0032E" w:rsidP="00E0032E">
            <w:pPr>
              <w:rPr>
                <w:b/>
                <w:bCs/>
                <w:color w:val="FFFFFF" w:themeColor="background1"/>
              </w:rPr>
            </w:pPr>
            <w:r w:rsidRPr="00E0032E">
              <w:rPr>
                <w:b/>
                <w:bCs/>
                <w:color w:val="FFFFFF" w:themeColor="background1"/>
              </w:rPr>
              <w:t>Breakdown Required</w:t>
            </w:r>
          </w:p>
        </w:tc>
        <w:tc>
          <w:tcPr>
            <w:tcW w:w="1452" w:type="dxa"/>
            <w:shd w:val="clear" w:color="auto" w:fill="007777" w:themeFill="accent1"/>
            <w:vAlign w:val="center"/>
            <w:hideMark/>
          </w:tcPr>
          <w:p w14:paraId="7C9510DC" w14:textId="2B87B7E2" w:rsidR="00E0032E" w:rsidRPr="00E0032E" w:rsidRDefault="00E0032E" w:rsidP="00E0032E">
            <w:pPr>
              <w:rPr>
                <w:b/>
                <w:bCs/>
                <w:color w:val="FFFFFF" w:themeColor="background1"/>
              </w:rPr>
            </w:pPr>
            <w:r w:rsidRPr="00E0032E">
              <w:rPr>
                <w:b/>
                <w:bCs/>
                <w:color w:val="FFFFFF" w:themeColor="background1"/>
              </w:rPr>
              <w:t>Frequency</w:t>
            </w:r>
          </w:p>
        </w:tc>
        <w:tc>
          <w:tcPr>
            <w:tcW w:w="2635" w:type="dxa"/>
            <w:shd w:val="clear" w:color="auto" w:fill="007777" w:themeFill="accent1"/>
            <w:vAlign w:val="center"/>
            <w:hideMark/>
          </w:tcPr>
          <w:p w14:paraId="7DB4BD08" w14:textId="77777777" w:rsidR="00E0032E" w:rsidRPr="00E0032E" w:rsidRDefault="00E0032E" w:rsidP="00E0032E">
            <w:pPr>
              <w:rPr>
                <w:b/>
                <w:bCs/>
                <w:color w:val="FFFFFF" w:themeColor="background1"/>
              </w:rPr>
            </w:pPr>
            <w:r w:rsidRPr="00E0032E">
              <w:rPr>
                <w:b/>
                <w:bCs/>
                <w:color w:val="FFFFFF" w:themeColor="background1"/>
              </w:rPr>
              <w:t>Committee Focus</w:t>
            </w:r>
          </w:p>
        </w:tc>
        <w:tc>
          <w:tcPr>
            <w:tcW w:w="2818" w:type="dxa"/>
            <w:shd w:val="clear" w:color="auto" w:fill="007777" w:themeFill="accent1"/>
            <w:vAlign w:val="center"/>
            <w:hideMark/>
          </w:tcPr>
          <w:p w14:paraId="19C4D884" w14:textId="77777777" w:rsidR="00E0032E" w:rsidRPr="00E0032E" w:rsidRDefault="00E0032E" w:rsidP="00E0032E">
            <w:pPr>
              <w:rPr>
                <w:b/>
                <w:bCs/>
                <w:color w:val="FFFFFF" w:themeColor="background1"/>
              </w:rPr>
            </w:pPr>
            <w:r w:rsidRPr="00E0032E">
              <w:rPr>
                <w:b/>
                <w:bCs/>
                <w:color w:val="FFFFFF" w:themeColor="background1"/>
              </w:rPr>
              <w:t>Escalation to Board</w:t>
            </w:r>
          </w:p>
        </w:tc>
      </w:tr>
      <w:tr w:rsidR="00F96334" w:rsidRPr="00E0032E" w14:paraId="66951FF9" w14:textId="77777777" w:rsidTr="00F96334">
        <w:trPr>
          <w:tblCellSpacing w:w="15" w:type="dxa"/>
        </w:trPr>
        <w:tc>
          <w:tcPr>
            <w:tcW w:w="1371" w:type="dxa"/>
            <w:vMerge w:val="restart"/>
            <w:vAlign w:val="center"/>
            <w:hideMark/>
          </w:tcPr>
          <w:p w14:paraId="7F990FF9" w14:textId="77777777" w:rsidR="00F96334" w:rsidRPr="00E0032E" w:rsidRDefault="00F96334" w:rsidP="00F96334">
            <w:pPr>
              <w:jc w:val="center"/>
            </w:pPr>
            <w:r w:rsidRPr="00E0032E">
              <w:rPr>
                <w:b/>
                <w:bCs/>
              </w:rPr>
              <w:t>Workforce Resourcing</w:t>
            </w:r>
          </w:p>
        </w:tc>
        <w:tc>
          <w:tcPr>
            <w:tcW w:w="2248" w:type="dxa"/>
            <w:vAlign w:val="center"/>
            <w:hideMark/>
          </w:tcPr>
          <w:p w14:paraId="2E06C84E" w14:textId="77777777" w:rsidR="00F96334" w:rsidRPr="00E0032E" w:rsidRDefault="00F96334" w:rsidP="00E0032E">
            <w:r w:rsidRPr="00E0032E">
              <w:t>1. Staff turnover (12-month rolling)</w:t>
            </w:r>
          </w:p>
        </w:tc>
        <w:tc>
          <w:tcPr>
            <w:tcW w:w="0" w:type="auto"/>
            <w:vAlign w:val="center"/>
            <w:hideMark/>
          </w:tcPr>
          <w:p w14:paraId="553F341F" w14:textId="77777777" w:rsidR="00F96334" w:rsidRPr="00E0032E" w:rsidRDefault="00F96334" w:rsidP="00E0032E">
            <w:r w:rsidRPr="00E0032E">
              <w:t>Service, role group, contract type, reason for leaving, protected characteristics</w:t>
            </w:r>
          </w:p>
        </w:tc>
        <w:tc>
          <w:tcPr>
            <w:tcW w:w="1452" w:type="dxa"/>
            <w:vAlign w:val="center"/>
            <w:hideMark/>
          </w:tcPr>
          <w:p w14:paraId="74BF76A7" w14:textId="77777777" w:rsidR="00F96334" w:rsidRPr="00E0032E" w:rsidRDefault="00F96334" w:rsidP="00E0032E">
            <w:r w:rsidRPr="00E0032E">
              <w:t>Quarterly</w:t>
            </w:r>
          </w:p>
        </w:tc>
        <w:tc>
          <w:tcPr>
            <w:tcW w:w="2635" w:type="dxa"/>
            <w:vAlign w:val="center"/>
            <w:hideMark/>
          </w:tcPr>
          <w:p w14:paraId="7037EC5C" w14:textId="77777777" w:rsidR="00F96334" w:rsidRPr="00E0032E" w:rsidRDefault="00F96334" w:rsidP="00E0032E">
            <w:r w:rsidRPr="00E0032E">
              <w:t>Retention trends, hotspots, voluntary vs involuntary leavers, equality of retention</w:t>
            </w:r>
          </w:p>
        </w:tc>
        <w:tc>
          <w:tcPr>
            <w:tcW w:w="2818" w:type="dxa"/>
            <w:vAlign w:val="center"/>
            <w:hideMark/>
          </w:tcPr>
          <w:p w14:paraId="2C7383D4" w14:textId="77777777" w:rsidR="00F96334" w:rsidRPr="00E0032E" w:rsidRDefault="00F96334" w:rsidP="00E0032E">
            <w:r w:rsidRPr="00E0032E">
              <w:t>Sustained rise &gt;2% above baseline or notable variance between groups</w:t>
            </w:r>
          </w:p>
        </w:tc>
      </w:tr>
      <w:tr w:rsidR="00F96334" w:rsidRPr="00E0032E" w14:paraId="26EF1E13" w14:textId="77777777" w:rsidTr="00F96334">
        <w:trPr>
          <w:tblCellSpacing w:w="15" w:type="dxa"/>
        </w:trPr>
        <w:tc>
          <w:tcPr>
            <w:tcW w:w="1371" w:type="dxa"/>
            <w:vMerge/>
            <w:vAlign w:val="center"/>
            <w:hideMark/>
          </w:tcPr>
          <w:p w14:paraId="01F889FF" w14:textId="77777777" w:rsidR="00F96334" w:rsidRPr="00E0032E" w:rsidRDefault="00F96334" w:rsidP="00F96334">
            <w:pPr>
              <w:jc w:val="center"/>
            </w:pPr>
          </w:p>
        </w:tc>
        <w:tc>
          <w:tcPr>
            <w:tcW w:w="2248" w:type="dxa"/>
            <w:vAlign w:val="center"/>
            <w:hideMark/>
          </w:tcPr>
          <w:p w14:paraId="36D2BCC0" w14:textId="77777777" w:rsidR="00F96334" w:rsidRPr="00E0032E" w:rsidRDefault="00F96334" w:rsidP="00E0032E">
            <w:r w:rsidRPr="00E0032E">
              <w:t>2. Workforce fill ratio (planned vs actual hours)</w:t>
            </w:r>
          </w:p>
        </w:tc>
        <w:tc>
          <w:tcPr>
            <w:tcW w:w="0" w:type="auto"/>
            <w:vAlign w:val="center"/>
            <w:hideMark/>
          </w:tcPr>
          <w:p w14:paraId="4D9FE5AC" w14:textId="77777777" w:rsidR="00F96334" w:rsidRPr="00E0032E" w:rsidRDefault="00F96334" w:rsidP="00E0032E">
            <w:r w:rsidRPr="00E0032E">
              <w:t>Service, clinical/non-clinical, shift type (day/night/weekend), contract type (perm, bank, agency)</w:t>
            </w:r>
          </w:p>
        </w:tc>
        <w:tc>
          <w:tcPr>
            <w:tcW w:w="1452" w:type="dxa"/>
            <w:vAlign w:val="center"/>
            <w:hideMark/>
          </w:tcPr>
          <w:p w14:paraId="0A3AD2C0" w14:textId="77777777" w:rsidR="00F96334" w:rsidRPr="00E0032E" w:rsidRDefault="00F96334" w:rsidP="00E0032E">
            <w:r w:rsidRPr="00E0032E">
              <w:t>Quarterly</w:t>
            </w:r>
          </w:p>
        </w:tc>
        <w:tc>
          <w:tcPr>
            <w:tcW w:w="2635" w:type="dxa"/>
            <w:vAlign w:val="center"/>
            <w:hideMark/>
          </w:tcPr>
          <w:p w14:paraId="0DB3CC5F" w14:textId="77777777" w:rsidR="00F96334" w:rsidRPr="00E0032E" w:rsidRDefault="00F96334" w:rsidP="00E0032E">
            <w:r w:rsidRPr="00E0032E">
              <w:t>Workforce sustainability, agency reliance</w:t>
            </w:r>
          </w:p>
        </w:tc>
        <w:tc>
          <w:tcPr>
            <w:tcW w:w="2818" w:type="dxa"/>
            <w:vAlign w:val="center"/>
            <w:hideMark/>
          </w:tcPr>
          <w:p w14:paraId="45B409F7" w14:textId="77777777" w:rsidR="00F96334" w:rsidRPr="00E0032E" w:rsidRDefault="00F96334" w:rsidP="00E0032E">
            <w:r w:rsidRPr="00E0032E">
              <w:t>Sustained fill &lt;95% or unmitigated agency dependency</w:t>
            </w:r>
          </w:p>
        </w:tc>
      </w:tr>
      <w:tr w:rsidR="00F96334" w:rsidRPr="00E0032E" w14:paraId="58D2F3E3" w14:textId="77777777" w:rsidTr="00F96334">
        <w:trPr>
          <w:tblCellSpacing w:w="15" w:type="dxa"/>
        </w:trPr>
        <w:tc>
          <w:tcPr>
            <w:tcW w:w="1371" w:type="dxa"/>
            <w:vMerge/>
            <w:vAlign w:val="center"/>
            <w:hideMark/>
          </w:tcPr>
          <w:p w14:paraId="3E619479" w14:textId="77777777" w:rsidR="00F96334" w:rsidRPr="00E0032E" w:rsidRDefault="00F96334" w:rsidP="00F96334">
            <w:pPr>
              <w:jc w:val="center"/>
            </w:pPr>
          </w:p>
        </w:tc>
        <w:tc>
          <w:tcPr>
            <w:tcW w:w="2248" w:type="dxa"/>
            <w:vAlign w:val="center"/>
            <w:hideMark/>
          </w:tcPr>
          <w:p w14:paraId="4089AA11" w14:textId="77777777" w:rsidR="00F96334" w:rsidRPr="00E0032E" w:rsidRDefault="00F96334" w:rsidP="00E0032E">
            <w:r w:rsidRPr="00E0032E">
              <w:t>3. Recruitment pipeline (time-to-hire, vacancy rate)</w:t>
            </w:r>
          </w:p>
        </w:tc>
        <w:tc>
          <w:tcPr>
            <w:tcW w:w="0" w:type="auto"/>
            <w:vAlign w:val="center"/>
            <w:hideMark/>
          </w:tcPr>
          <w:p w14:paraId="7C4E2C48" w14:textId="77777777" w:rsidR="00F96334" w:rsidRPr="00E0032E" w:rsidRDefault="00F96334" w:rsidP="00E0032E">
            <w:r w:rsidRPr="00E0032E">
              <w:t>Service, role type, source of hire, EDI profile</w:t>
            </w:r>
          </w:p>
        </w:tc>
        <w:tc>
          <w:tcPr>
            <w:tcW w:w="1452" w:type="dxa"/>
            <w:vAlign w:val="center"/>
            <w:hideMark/>
          </w:tcPr>
          <w:p w14:paraId="5E05CBC0" w14:textId="77777777" w:rsidR="00F96334" w:rsidRPr="00E0032E" w:rsidRDefault="00F96334" w:rsidP="00E0032E">
            <w:r w:rsidRPr="00E0032E">
              <w:t>Quarterly</w:t>
            </w:r>
          </w:p>
        </w:tc>
        <w:tc>
          <w:tcPr>
            <w:tcW w:w="2635" w:type="dxa"/>
            <w:vAlign w:val="center"/>
            <w:hideMark/>
          </w:tcPr>
          <w:p w14:paraId="1F667FDC" w14:textId="77777777" w:rsidR="00F96334" w:rsidRPr="00E0032E" w:rsidRDefault="00F96334" w:rsidP="00E0032E">
            <w:r w:rsidRPr="00E0032E">
              <w:t>Recruitment efficiency, diversity in hiring</w:t>
            </w:r>
          </w:p>
        </w:tc>
        <w:tc>
          <w:tcPr>
            <w:tcW w:w="2818" w:type="dxa"/>
            <w:vAlign w:val="center"/>
            <w:hideMark/>
          </w:tcPr>
          <w:p w14:paraId="3A43DF1B" w14:textId="77777777" w:rsidR="00F96334" w:rsidRPr="00E0032E" w:rsidRDefault="00F96334" w:rsidP="00E0032E">
            <w:r w:rsidRPr="00E0032E">
              <w:t>Recurrent vacancies or reduced EDI representation</w:t>
            </w:r>
          </w:p>
        </w:tc>
      </w:tr>
      <w:tr w:rsidR="00F96334" w:rsidRPr="00E0032E" w14:paraId="1D37CF7E" w14:textId="77777777" w:rsidTr="00F96334">
        <w:trPr>
          <w:tblCellSpacing w:w="15" w:type="dxa"/>
        </w:trPr>
        <w:tc>
          <w:tcPr>
            <w:tcW w:w="1371" w:type="dxa"/>
            <w:vMerge w:val="restart"/>
            <w:vAlign w:val="center"/>
            <w:hideMark/>
          </w:tcPr>
          <w:p w14:paraId="2FE32694" w14:textId="77777777" w:rsidR="00F96334" w:rsidRPr="00E0032E" w:rsidRDefault="00F96334" w:rsidP="00F96334">
            <w:pPr>
              <w:jc w:val="center"/>
            </w:pPr>
            <w:r w:rsidRPr="00E0032E">
              <w:rPr>
                <w:b/>
                <w:bCs/>
              </w:rPr>
              <w:t>Engagement &amp; Culture</w:t>
            </w:r>
          </w:p>
        </w:tc>
        <w:tc>
          <w:tcPr>
            <w:tcW w:w="2248" w:type="dxa"/>
            <w:vAlign w:val="center"/>
            <w:hideMark/>
          </w:tcPr>
          <w:p w14:paraId="384BD0CF" w14:textId="77777777" w:rsidR="00F96334" w:rsidRPr="00E0032E" w:rsidRDefault="00F96334" w:rsidP="00E0032E">
            <w:r w:rsidRPr="00E0032E">
              <w:t>4. eNPS / “Our Voice”</w:t>
            </w:r>
          </w:p>
        </w:tc>
        <w:tc>
          <w:tcPr>
            <w:tcW w:w="0" w:type="auto"/>
            <w:vAlign w:val="center"/>
            <w:hideMark/>
          </w:tcPr>
          <w:p w14:paraId="4F967542" w14:textId="77777777" w:rsidR="00F96334" w:rsidRPr="00E0032E" w:rsidRDefault="00F96334" w:rsidP="00E0032E">
            <w:r w:rsidRPr="00E0032E">
              <w:t>Service, team, tenure, demographics</w:t>
            </w:r>
          </w:p>
        </w:tc>
        <w:tc>
          <w:tcPr>
            <w:tcW w:w="1452" w:type="dxa"/>
            <w:vAlign w:val="center"/>
            <w:hideMark/>
          </w:tcPr>
          <w:p w14:paraId="5A1D3992" w14:textId="77777777" w:rsidR="00F96334" w:rsidRPr="00E0032E" w:rsidRDefault="00F96334" w:rsidP="00E0032E">
            <w:r w:rsidRPr="00E0032E">
              <w:t>Annual (Q1)</w:t>
            </w:r>
          </w:p>
        </w:tc>
        <w:tc>
          <w:tcPr>
            <w:tcW w:w="2635" w:type="dxa"/>
            <w:vAlign w:val="center"/>
            <w:hideMark/>
          </w:tcPr>
          <w:p w14:paraId="2E3672A7" w14:textId="77777777" w:rsidR="00F96334" w:rsidRPr="00E0032E" w:rsidRDefault="00F96334" w:rsidP="00E0032E">
            <w:r w:rsidRPr="00E0032E">
              <w:t>Engagement gaps, consistency of experience</w:t>
            </w:r>
          </w:p>
        </w:tc>
        <w:tc>
          <w:tcPr>
            <w:tcW w:w="2818" w:type="dxa"/>
            <w:vAlign w:val="center"/>
            <w:hideMark/>
          </w:tcPr>
          <w:p w14:paraId="79D9379F" w14:textId="77777777" w:rsidR="00F96334" w:rsidRPr="00E0032E" w:rsidRDefault="00F96334" w:rsidP="00E0032E">
            <w:r w:rsidRPr="00E0032E">
              <w:t>Decline &gt;5 points or outlier teams below org mean</w:t>
            </w:r>
          </w:p>
        </w:tc>
      </w:tr>
      <w:tr w:rsidR="00F96334" w:rsidRPr="00E0032E" w14:paraId="7F158A75" w14:textId="77777777" w:rsidTr="00F96334">
        <w:trPr>
          <w:tblCellSpacing w:w="15" w:type="dxa"/>
        </w:trPr>
        <w:tc>
          <w:tcPr>
            <w:tcW w:w="1371" w:type="dxa"/>
            <w:vMerge/>
            <w:vAlign w:val="center"/>
            <w:hideMark/>
          </w:tcPr>
          <w:p w14:paraId="011FCAA7" w14:textId="77777777" w:rsidR="00F96334" w:rsidRPr="00E0032E" w:rsidRDefault="00F96334" w:rsidP="00F96334">
            <w:pPr>
              <w:jc w:val="center"/>
            </w:pPr>
          </w:p>
        </w:tc>
        <w:tc>
          <w:tcPr>
            <w:tcW w:w="2248" w:type="dxa"/>
            <w:vAlign w:val="center"/>
            <w:hideMark/>
          </w:tcPr>
          <w:p w14:paraId="3BAE0CC9" w14:textId="77777777" w:rsidR="00F96334" w:rsidRPr="00E0032E" w:rsidRDefault="00F96334" w:rsidP="00E0032E">
            <w:r w:rsidRPr="00E0032E">
              <w:t>5. New starter retention (12-month)</w:t>
            </w:r>
          </w:p>
        </w:tc>
        <w:tc>
          <w:tcPr>
            <w:tcW w:w="0" w:type="auto"/>
            <w:vAlign w:val="center"/>
            <w:hideMark/>
          </w:tcPr>
          <w:p w14:paraId="1F2D43A1" w14:textId="77777777" w:rsidR="00F96334" w:rsidRPr="00E0032E" w:rsidRDefault="00F96334" w:rsidP="00E0032E">
            <w:r w:rsidRPr="00E0032E">
              <w:t>Service, role type, demographics</w:t>
            </w:r>
          </w:p>
        </w:tc>
        <w:tc>
          <w:tcPr>
            <w:tcW w:w="1452" w:type="dxa"/>
            <w:vAlign w:val="center"/>
            <w:hideMark/>
          </w:tcPr>
          <w:p w14:paraId="268836CE" w14:textId="77777777" w:rsidR="00F96334" w:rsidRPr="00E0032E" w:rsidRDefault="00F96334" w:rsidP="00E0032E">
            <w:r w:rsidRPr="00E0032E">
              <w:t>Quarterly</w:t>
            </w:r>
          </w:p>
        </w:tc>
        <w:tc>
          <w:tcPr>
            <w:tcW w:w="2635" w:type="dxa"/>
            <w:vAlign w:val="center"/>
            <w:hideMark/>
          </w:tcPr>
          <w:p w14:paraId="52AB42F8" w14:textId="77777777" w:rsidR="00F96334" w:rsidRPr="00E0032E" w:rsidRDefault="00F96334" w:rsidP="00E0032E">
            <w:r w:rsidRPr="00E0032E">
              <w:t>Induction and onboarding quality</w:t>
            </w:r>
          </w:p>
        </w:tc>
        <w:tc>
          <w:tcPr>
            <w:tcW w:w="2818" w:type="dxa"/>
            <w:vAlign w:val="center"/>
            <w:hideMark/>
          </w:tcPr>
          <w:p w14:paraId="0F34FE89" w14:textId="77777777" w:rsidR="00F96334" w:rsidRPr="00E0032E" w:rsidRDefault="00F96334" w:rsidP="00E0032E">
            <w:r w:rsidRPr="00E0032E">
              <w:t>Retention below 80% or variance &gt;10% between groups</w:t>
            </w:r>
          </w:p>
        </w:tc>
      </w:tr>
      <w:tr w:rsidR="00F96334" w:rsidRPr="00E0032E" w14:paraId="7FA56863" w14:textId="77777777" w:rsidTr="00F96334">
        <w:trPr>
          <w:tblCellSpacing w:w="15" w:type="dxa"/>
        </w:trPr>
        <w:tc>
          <w:tcPr>
            <w:tcW w:w="1371" w:type="dxa"/>
            <w:vMerge w:val="restart"/>
            <w:vAlign w:val="center"/>
            <w:hideMark/>
          </w:tcPr>
          <w:p w14:paraId="786DAFA6" w14:textId="77777777" w:rsidR="00F96334" w:rsidRPr="00E0032E" w:rsidRDefault="00F96334" w:rsidP="00F96334">
            <w:pPr>
              <w:jc w:val="center"/>
            </w:pPr>
            <w:r w:rsidRPr="00E0032E">
              <w:rPr>
                <w:b/>
                <w:bCs/>
              </w:rPr>
              <w:t>Wellbeing</w:t>
            </w:r>
          </w:p>
        </w:tc>
        <w:tc>
          <w:tcPr>
            <w:tcW w:w="2248" w:type="dxa"/>
            <w:vAlign w:val="center"/>
            <w:hideMark/>
          </w:tcPr>
          <w:p w14:paraId="22F86AF8" w14:textId="77777777" w:rsidR="00F96334" w:rsidRPr="00E0032E" w:rsidRDefault="00F96334" w:rsidP="00E0032E">
            <w:r w:rsidRPr="00E0032E">
              <w:t>6. Sickness absence</w:t>
            </w:r>
          </w:p>
        </w:tc>
        <w:tc>
          <w:tcPr>
            <w:tcW w:w="0" w:type="auto"/>
            <w:vAlign w:val="center"/>
            <w:hideMark/>
          </w:tcPr>
          <w:p w14:paraId="2F2C62B8" w14:textId="77777777" w:rsidR="00F96334" w:rsidRPr="00E0032E" w:rsidRDefault="00F96334" w:rsidP="00E0032E">
            <w:r w:rsidRPr="00E0032E">
              <w:t>Service, reason code, duration, work-related vs non-work-related, demographics</w:t>
            </w:r>
          </w:p>
        </w:tc>
        <w:tc>
          <w:tcPr>
            <w:tcW w:w="1452" w:type="dxa"/>
            <w:vAlign w:val="center"/>
            <w:hideMark/>
          </w:tcPr>
          <w:p w14:paraId="54D3F047" w14:textId="77777777" w:rsidR="00F96334" w:rsidRPr="00E0032E" w:rsidRDefault="00F96334" w:rsidP="00E0032E">
            <w:r w:rsidRPr="00E0032E">
              <w:t>Quarterly</w:t>
            </w:r>
          </w:p>
        </w:tc>
        <w:tc>
          <w:tcPr>
            <w:tcW w:w="2635" w:type="dxa"/>
            <w:vAlign w:val="center"/>
            <w:hideMark/>
          </w:tcPr>
          <w:p w14:paraId="61B5BFEA" w14:textId="77777777" w:rsidR="00F96334" w:rsidRPr="00E0032E" w:rsidRDefault="00F96334" w:rsidP="00E0032E">
            <w:r w:rsidRPr="00E0032E">
              <w:t>Patterns, psychosocial causes, impact on teams</w:t>
            </w:r>
          </w:p>
        </w:tc>
        <w:tc>
          <w:tcPr>
            <w:tcW w:w="2818" w:type="dxa"/>
            <w:vAlign w:val="center"/>
            <w:hideMark/>
          </w:tcPr>
          <w:p w14:paraId="149051F9" w14:textId="77777777" w:rsidR="00F96334" w:rsidRPr="00E0032E" w:rsidRDefault="00F96334" w:rsidP="00E0032E">
            <w:r w:rsidRPr="00E0032E">
              <w:t>&gt;5% rolling rate or rising work-related sickness</w:t>
            </w:r>
          </w:p>
        </w:tc>
      </w:tr>
      <w:tr w:rsidR="00F96334" w:rsidRPr="00E0032E" w14:paraId="31E130C7" w14:textId="77777777" w:rsidTr="00F96334">
        <w:trPr>
          <w:tblCellSpacing w:w="15" w:type="dxa"/>
        </w:trPr>
        <w:tc>
          <w:tcPr>
            <w:tcW w:w="1371" w:type="dxa"/>
            <w:vMerge/>
            <w:vAlign w:val="center"/>
            <w:hideMark/>
          </w:tcPr>
          <w:p w14:paraId="07A2A13E" w14:textId="77777777" w:rsidR="00F96334" w:rsidRPr="00E0032E" w:rsidRDefault="00F96334" w:rsidP="00F96334">
            <w:pPr>
              <w:jc w:val="center"/>
            </w:pPr>
          </w:p>
        </w:tc>
        <w:tc>
          <w:tcPr>
            <w:tcW w:w="2248" w:type="dxa"/>
            <w:vAlign w:val="center"/>
            <w:hideMark/>
          </w:tcPr>
          <w:p w14:paraId="051083FF" w14:textId="77777777" w:rsidR="00F96334" w:rsidRPr="00E0032E" w:rsidRDefault="00F96334" w:rsidP="00E0032E">
            <w:r w:rsidRPr="00E0032E">
              <w:t>7. Wellbeing Survey (Warwick Index)</w:t>
            </w:r>
          </w:p>
        </w:tc>
        <w:tc>
          <w:tcPr>
            <w:tcW w:w="0" w:type="auto"/>
            <w:vAlign w:val="center"/>
            <w:hideMark/>
          </w:tcPr>
          <w:p w14:paraId="65A47127" w14:textId="77777777" w:rsidR="00F96334" w:rsidRPr="00E0032E" w:rsidRDefault="00F96334" w:rsidP="00E0032E">
            <w:r w:rsidRPr="00E0032E">
              <w:t>Service, tenure, demographics</w:t>
            </w:r>
          </w:p>
        </w:tc>
        <w:tc>
          <w:tcPr>
            <w:tcW w:w="1452" w:type="dxa"/>
            <w:vAlign w:val="center"/>
            <w:hideMark/>
          </w:tcPr>
          <w:p w14:paraId="7095C2C0" w14:textId="77777777" w:rsidR="00F96334" w:rsidRPr="00E0032E" w:rsidRDefault="00F96334" w:rsidP="00E0032E">
            <w:r w:rsidRPr="00E0032E">
              <w:t>Quarterly</w:t>
            </w:r>
          </w:p>
        </w:tc>
        <w:tc>
          <w:tcPr>
            <w:tcW w:w="2635" w:type="dxa"/>
            <w:vAlign w:val="center"/>
            <w:hideMark/>
          </w:tcPr>
          <w:p w14:paraId="3C5D3AEF" w14:textId="77777777" w:rsidR="00F96334" w:rsidRPr="00E0032E" w:rsidRDefault="00F96334" w:rsidP="00E0032E">
            <w:r w:rsidRPr="00E0032E">
              <w:t>Wellbeing culture and stress indicators</w:t>
            </w:r>
          </w:p>
        </w:tc>
        <w:tc>
          <w:tcPr>
            <w:tcW w:w="2818" w:type="dxa"/>
            <w:vAlign w:val="center"/>
            <w:hideMark/>
          </w:tcPr>
          <w:p w14:paraId="5FAAADFA" w14:textId="77777777" w:rsidR="00F96334" w:rsidRPr="00E0032E" w:rsidRDefault="00F96334" w:rsidP="00E0032E">
            <w:r w:rsidRPr="00E0032E">
              <w:t>Worsening trend across services</w:t>
            </w:r>
          </w:p>
        </w:tc>
      </w:tr>
      <w:tr w:rsidR="00F96334" w:rsidRPr="00E0032E" w14:paraId="2D94EAF7" w14:textId="77777777" w:rsidTr="00F96334">
        <w:trPr>
          <w:tblCellSpacing w:w="15" w:type="dxa"/>
        </w:trPr>
        <w:tc>
          <w:tcPr>
            <w:tcW w:w="1371" w:type="dxa"/>
            <w:vMerge w:val="restart"/>
            <w:vAlign w:val="center"/>
            <w:hideMark/>
          </w:tcPr>
          <w:p w14:paraId="27191DC8" w14:textId="77777777" w:rsidR="00F96334" w:rsidRPr="00E0032E" w:rsidRDefault="00F96334" w:rsidP="00F96334">
            <w:pPr>
              <w:jc w:val="center"/>
            </w:pPr>
            <w:r w:rsidRPr="00E0032E">
              <w:rPr>
                <w:b/>
                <w:bCs/>
              </w:rPr>
              <w:t>Equity, Diversity &amp; Inclusion</w:t>
            </w:r>
          </w:p>
        </w:tc>
        <w:tc>
          <w:tcPr>
            <w:tcW w:w="2248" w:type="dxa"/>
            <w:vAlign w:val="center"/>
            <w:hideMark/>
          </w:tcPr>
          <w:p w14:paraId="0998532F" w14:textId="77777777" w:rsidR="00F96334" w:rsidRPr="00E0032E" w:rsidRDefault="00F96334" w:rsidP="00E0032E">
            <w:r w:rsidRPr="00E0032E">
              <w:t>8. Workforce composition</w:t>
            </w:r>
          </w:p>
        </w:tc>
        <w:tc>
          <w:tcPr>
            <w:tcW w:w="0" w:type="auto"/>
            <w:vAlign w:val="center"/>
            <w:hideMark/>
          </w:tcPr>
          <w:p w14:paraId="33BBD72A" w14:textId="77777777" w:rsidR="00F96334" w:rsidRPr="00E0032E" w:rsidRDefault="00F96334" w:rsidP="00E0032E">
            <w:r w:rsidRPr="00E0032E">
              <w:t>Gender, ethnicity, disability, sexual orientation, gender identity, age, contract type, seniority</w:t>
            </w:r>
          </w:p>
        </w:tc>
        <w:tc>
          <w:tcPr>
            <w:tcW w:w="1452" w:type="dxa"/>
            <w:vAlign w:val="center"/>
            <w:hideMark/>
          </w:tcPr>
          <w:p w14:paraId="483A3CBA" w14:textId="77777777" w:rsidR="00F96334" w:rsidRPr="00E0032E" w:rsidRDefault="00F96334" w:rsidP="00E0032E">
            <w:r w:rsidRPr="00E0032E">
              <w:t>Annual</w:t>
            </w:r>
          </w:p>
        </w:tc>
        <w:tc>
          <w:tcPr>
            <w:tcW w:w="2635" w:type="dxa"/>
            <w:vAlign w:val="center"/>
            <w:hideMark/>
          </w:tcPr>
          <w:p w14:paraId="7D387692" w14:textId="77777777" w:rsidR="00F96334" w:rsidRPr="00E0032E" w:rsidRDefault="00F96334" w:rsidP="00E0032E">
            <w:r w:rsidRPr="00E0032E">
              <w:t>Representation vs community, recruitment and promotion fairness</w:t>
            </w:r>
          </w:p>
        </w:tc>
        <w:tc>
          <w:tcPr>
            <w:tcW w:w="2818" w:type="dxa"/>
            <w:vAlign w:val="center"/>
            <w:hideMark/>
          </w:tcPr>
          <w:p w14:paraId="7A29B86B" w14:textId="77777777" w:rsidR="00F96334" w:rsidRPr="00E0032E" w:rsidRDefault="00F96334" w:rsidP="00E0032E">
            <w:r w:rsidRPr="00E0032E">
              <w:t>Material under-representation or declining diversity</w:t>
            </w:r>
          </w:p>
        </w:tc>
      </w:tr>
      <w:tr w:rsidR="00F96334" w:rsidRPr="00E0032E" w14:paraId="4C456AF8" w14:textId="77777777" w:rsidTr="00F96334">
        <w:trPr>
          <w:tblCellSpacing w:w="15" w:type="dxa"/>
        </w:trPr>
        <w:tc>
          <w:tcPr>
            <w:tcW w:w="1371" w:type="dxa"/>
            <w:vMerge/>
            <w:vAlign w:val="center"/>
            <w:hideMark/>
          </w:tcPr>
          <w:p w14:paraId="4506D694" w14:textId="77777777" w:rsidR="00F96334" w:rsidRPr="00E0032E" w:rsidRDefault="00F96334" w:rsidP="00F96334">
            <w:pPr>
              <w:jc w:val="center"/>
            </w:pPr>
          </w:p>
        </w:tc>
        <w:tc>
          <w:tcPr>
            <w:tcW w:w="2248" w:type="dxa"/>
            <w:vAlign w:val="center"/>
            <w:hideMark/>
          </w:tcPr>
          <w:p w14:paraId="3262C53B" w14:textId="77777777" w:rsidR="00F96334" w:rsidRPr="00E0032E" w:rsidRDefault="00F96334" w:rsidP="00E0032E">
            <w:r w:rsidRPr="00E0032E">
              <w:t>9. Pay gap analysis</w:t>
            </w:r>
          </w:p>
        </w:tc>
        <w:tc>
          <w:tcPr>
            <w:tcW w:w="0" w:type="auto"/>
            <w:vAlign w:val="center"/>
            <w:hideMark/>
          </w:tcPr>
          <w:p w14:paraId="12353DA1" w14:textId="77777777" w:rsidR="00F96334" w:rsidRPr="00E0032E" w:rsidRDefault="00F96334" w:rsidP="00E0032E">
            <w:r w:rsidRPr="00E0032E">
              <w:t>Gender, ethnicity, disability</w:t>
            </w:r>
          </w:p>
        </w:tc>
        <w:tc>
          <w:tcPr>
            <w:tcW w:w="1452" w:type="dxa"/>
            <w:vAlign w:val="center"/>
            <w:hideMark/>
          </w:tcPr>
          <w:p w14:paraId="1F8A111F" w14:textId="77777777" w:rsidR="00F96334" w:rsidRPr="00E0032E" w:rsidRDefault="00F96334" w:rsidP="00E0032E">
            <w:r w:rsidRPr="00E0032E">
              <w:t>Annual (Q2)</w:t>
            </w:r>
          </w:p>
        </w:tc>
        <w:tc>
          <w:tcPr>
            <w:tcW w:w="2635" w:type="dxa"/>
            <w:vAlign w:val="center"/>
            <w:hideMark/>
          </w:tcPr>
          <w:p w14:paraId="0EBF9E9E" w14:textId="77777777" w:rsidR="00F96334" w:rsidRPr="00E0032E" w:rsidRDefault="00F96334" w:rsidP="00E0032E">
            <w:r w:rsidRPr="00E0032E">
              <w:t>Pay equity and progress vs national benchmarks</w:t>
            </w:r>
          </w:p>
        </w:tc>
        <w:tc>
          <w:tcPr>
            <w:tcW w:w="2818" w:type="dxa"/>
            <w:vAlign w:val="center"/>
            <w:hideMark/>
          </w:tcPr>
          <w:p w14:paraId="6834CA65" w14:textId="77777777" w:rsidR="00F96334" w:rsidRPr="00E0032E" w:rsidRDefault="00F96334" w:rsidP="00E0032E">
            <w:r w:rsidRPr="00E0032E">
              <w:t>Any worsening year-on-year</w:t>
            </w:r>
          </w:p>
        </w:tc>
      </w:tr>
      <w:tr w:rsidR="00F96334" w:rsidRPr="00E0032E" w14:paraId="2A40518F" w14:textId="77777777" w:rsidTr="00F96334">
        <w:trPr>
          <w:tblCellSpacing w:w="15" w:type="dxa"/>
        </w:trPr>
        <w:tc>
          <w:tcPr>
            <w:tcW w:w="1371" w:type="dxa"/>
            <w:vMerge w:val="restart"/>
            <w:vAlign w:val="center"/>
            <w:hideMark/>
          </w:tcPr>
          <w:p w14:paraId="1E25839D" w14:textId="77777777" w:rsidR="00F96334" w:rsidRPr="00E0032E" w:rsidRDefault="00F96334" w:rsidP="00F96334">
            <w:pPr>
              <w:jc w:val="center"/>
            </w:pPr>
            <w:r w:rsidRPr="00E0032E">
              <w:rPr>
                <w:b/>
                <w:bCs/>
              </w:rPr>
              <w:t>Risk &amp; Compliance</w:t>
            </w:r>
          </w:p>
        </w:tc>
        <w:tc>
          <w:tcPr>
            <w:tcW w:w="2248" w:type="dxa"/>
            <w:vAlign w:val="center"/>
            <w:hideMark/>
          </w:tcPr>
          <w:p w14:paraId="2036D782" w14:textId="77777777" w:rsidR="00F96334" w:rsidRPr="00E0032E" w:rsidRDefault="00F96334" w:rsidP="00E0032E">
            <w:r w:rsidRPr="00E0032E">
              <w:t>10. Workforce risks</w:t>
            </w:r>
          </w:p>
        </w:tc>
        <w:tc>
          <w:tcPr>
            <w:tcW w:w="0" w:type="auto"/>
            <w:vAlign w:val="center"/>
            <w:hideMark/>
          </w:tcPr>
          <w:p w14:paraId="72F655EA" w14:textId="77777777" w:rsidR="00F96334" w:rsidRPr="00E0032E" w:rsidRDefault="00F96334" w:rsidP="00E0032E">
            <w:r w:rsidRPr="00E0032E">
              <w:t>As per corporate risk register</w:t>
            </w:r>
          </w:p>
        </w:tc>
        <w:tc>
          <w:tcPr>
            <w:tcW w:w="1452" w:type="dxa"/>
            <w:vAlign w:val="center"/>
            <w:hideMark/>
          </w:tcPr>
          <w:p w14:paraId="6F4ADAFB" w14:textId="77777777" w:rsidR="00F96334" w:rsidRPr="00E0032E" w:rsidRDefault="00F96334" w:rsidP="00E0032E">
            <w:r w:rsidRPr="00E0032E">
              <w:t>Quarterly</w:t>
            </w:r>
          </w:p>
        </w:tc>
        <w:tc>
          <w:tcPr>
            <w:tcW w:w="2635" w:type="dxa"/>
            <w:vAlign w:val="center"/>
            <w:hideMark/>
          </w:tcPr>
          <w:p w14:paraId="25BFBB75" w14:textId="77777777" w:rsidR="00F96334" w:rsidRPr="00E0032E" w:rsidRDefault="00F96334" w:rsidP="00E0032E">
            <w:r w:rsidRPr="00E0032E">
              <w:t>Assurance on mitigations and controls</w:t>
            </w:r>
          </w:p>
        </w:tc>
        <w:tc>
          <w:tcPr>
            <w:tcW w:w="2818" w:type="dxa"/>
            <w:vAlign w:val="center"/>
            <w:hideMark/>
          </w:tcPr>
          <w:p w14:paraId="47873D1D" w14:textId="77777777" w:rsidR="00F96334" w:rsidRPr="00E0032E" w:rsidRDefault="00F96334" w:rsidP="00E0032E">
            <w:r w:rsidRPr="00E0032E">
              <w:t>Any red-rated risk</w:t>
            </w:r>
          </w:p>
        </w:tc>
      </w:tr>
      <w:tr w:rsidR="00F96334" w:rsidRPr="00E0032E" w14:paraId="0EA8566B" w14:textId="77777777" w:rsidTr="00F96334">
        <w:trPr>
          <w:tblCellSpacing w:w="15" w:type="dxa"/>
        </w:trPr>
        <w:tc>
          <w:tcPr>
            <w:tcW w:w="1371" w:type="dxa"/>
            <w:vMerge/>
            <w:vAlign w:val="center"/>
            <w:hideMark/>
          </w:tcPr>
          <w:p w14:paraId="0085B47E" w14:textId="77777777" w:rsidR="00F96334" w:rsidRPr="00E0032E" w:rsidRDefault="00F96334" w:rsidP="00F96334">
            <w:pPr>
              <w:jc w:val="center"/>
            </w:pPr>
          </w:p>
        </w:tc>
        <w:tc>
          <w:tcPr>
            <w:tcW w:w="2248" w:type="dxa"/>
            <w:vAlign w:val="center"/>
            <w:hideMark/>
          </w:tcPr>
          <w:p w14:paraId="2469FB93" w14:textId="77777777" w:rsidR="00F96334" w:rsidRPr="00E0032E" w:rsidRDefault="00F96334" w:rsidP="00E0032E">
            <w:r w:rsidRPr="00E0032E">
              <w:t>11. Statutory &amp; mandatory training compliance</w:t>
            </w:r>
          </w:p>
        </w:tc>
        <w:tc>
          <w:tcPr>
            <w:tcW w:w="0" w:type="auto"/>
            <w:vAlign w:val="center"/>
            <w:hideMark/>
          </w:tcPr>
          <w:p w14:paraId="10E4F9EB" w14:textId="77777777" w:rsidR="00F96334" w:rsidRPr="00E0032E" w:rsidRDefault="00F96334" w:rsidP="00E0032E">
            <w:r w:rsidRPr="00E0032E">
              <w:t>Service, staff group, contract type</w:t>
            </w:r>
          </w:p>
        </w:tc>
        <w:tc>
          <w:tcPr>
            <w:tcW w:w="1452" w:type="dxa"/>
            <w:vAlign w:val="center"/>
            <w:hideMark/>
          </w:tcPr>
          <w:p w14:paraId="3B545E3D" w14:textId="77777777" w:rsidR="00F96334" w:rsidRPr="00E0032E" w:rsidRDefault="00F96334" w:rsidP="00E0032E">
            <w:r w:rsidRPr="00E0032E">
              <w:t>Annual (Q4)</w:t>
            </w:r>
          </w:p>
        </w:tc>
        <w:tc>
          <w:tcPr>
            <w:tcW w:w="2635" w:type="dxa"/>
            <w:vAlign w:val="center"/>
            <w:hideMark/>
          </w:tcPr>
          <w:p w14:paraId="2EB00C49" w14:textId="77777777" w:rsidR="00F96334" w:rsidRPr="00E0032E" w:rsidRDefault="00F96334" w:rsidP="00E0032E">
            <w:r w:rsidRPr="00E0032E">
              <w:t>Compliance and link to “Being Prepared” bonus</w:t>
            </w:r>
          </w:p>
        </w:tc>
        <w:tc>
          <w:tcPr>
            <w:tcW w:w="2818" w:type="dxa"/>
            <w:vAlign w:val="center"/>
            <w:hideMark/>
          </w:tcPr>
          <w:p w14:paraId="32D41EA4" w14:textId="77777777" w:rsidR="00F96334" w:rsidRPr="00E0032E" w:rsidRDefault="00F96334" w:rsidP="00E0032E">
            <w:r w:rsidRPr="00E0032E">
              <w:t>&lt;90% completion or persistent non-compliance</w:t>
            </w:r>
          </w:p>
        </w:tc>
      </w:tr>
    </w:tbl>
    <w:p w14:paraId="2C699683" w14:textId="77777777" w:rsidR="00E0032E" w:rsidRPr="00E0032E" w:rsidRDefault="00E0032E" w:rsidP="00E0032E">
      <w:pPr>
        <w:rPr>
          <w:b/>
          <w:bCs/>
        </w:rPr>
      </w:pPr>
      <w:r w:rsidRPr="00E0032E">
        <w:rPr>
          <w:b/>
          <w:bCs/>
        </w:rPr>
        <w:t>Notes</w:t>
      </w:r>
    </w:p>
    <w:p w14:paraId="69BFFCE0" w14:textId="77777777" w:rsidR="00E0032E" w:rsidRPr="00E0032E" w:rsidRDefault="00E0032E" w:rsidP="005D75B4">
      <w:pPr>
        <w:numPr>
          <w:ilvl w:val="0"/>
          <w:numId w:val="6"/>
        </w:numPr>
      </w:pPr>
      <w:r w:rsidRPr="00E0032E">
        <w:rPr>
          <w:b/>
          <w:bCs/>
        </w:rPr>
        <w:t>Data Segmentation:</w:t>
      </w:r>
      <w:r w:rsidRPr="00E0032E">
        <w:t xml:space="preserve"> All People Committee reports will present data disaggregated by service, role group, contract type (permanent, fixed term, bank, agency), and demographic categories (gender, ethnicity, age band, disability, sexual orientation, gender identity).</w:t>
      </w:r>
    </w:p>
    <w:p w14:paraId="0554FCB0" w14:textId="77777777" w:rsidR="00E0032E" w:rsidRPr="00E0032E" w:rsidRDefault="00E0032E" w:rsidP="005D75B4">
      <w:pPr>
        <w:numPr>
          <w:ilvl w:val="0"/>
          <w:numId w:val="6"/>
        </w:numPr>
      </w:pPr>
      <w:r w:rsidRPr="00E0032E">
        <w:rPr>
          <w:b/>
          <w:bCs/>
        </w:rPr>
        <w:t>Benchmarking:</w:t>
      </w:r>
      <w:r w:rsidRPr="00E0032E">
        <w:t xml:space="preserve"> Where possible, internal comparisons will be supported by national or regional benchmarks (e.g. NHS Digital, ONS, or local ICS datasets).</w:t>
      </w:r>
    </w:p>
    <w:p w14:paraId="286EA137" w14:textId="77777777" w:rsidR="00E0032E" w:rsidRPr="00E0032E" w:rsidRDefault="00E0032E" w:rsidP="005D75B4">
      <w:pPr>
        <w:numPr>
          <w:ilvl w:val="0"/>
          <w:numId w:val="6"/>
        </w:numPr>
      </w:pPr>
      <w:r w:rsidRPr="00E0032E">
        <w:rPr>
          <w:b/>
          <w:bCs/>
        </w:rPr>
        <w:t>Narrative Analysis:</w:t>
      </w:r>
      <w:r w:rsidRPr="00E0032E">
        <w:t xml:space="preserve"> Quantitative data will be accompanied by qualitative insight on causes, mitigations, and progress against actions.</w:t>
      </w:r>
    </w:p>
    <w:p w14:paraId="372B7414" w14:textId="77777777" w:rsidR="00E0032E" w:rsidRPr="00E0032E" w:rsidRDefault="00E0032E" w:rsidP="005D75B4">
      <w:pPr>
        <w:numPr>
          <w:ilvl w:val="0"/>
          <w:numId w:val="6"/>
        </w:numPr>
      </w:pPr>
      <w:r w:rsidRPr="00E0032E">
        <w:rPr>
          <w:b/>
          <w:bCs/>
        </w:rPr>
        <w:t>Escalation Protocol:</w:t>
      </w:r>
      <w:r w:rsidRPr="00E0032E">
        <w:t xml:space="preserve"> The Committee will determine when an issue warrants escalation to the Combined Board based on scale, trend, or assurance gap.</w:t>
      </w:r>
    </w:p>
    <w:p w14:paraId="37595287" w14:textId="77777777" w:rsidR="00F96334" w:rsidRDefault="00E0032E" w:rsidP="005D75B4">
      <w:pPr>
        <w:numPr>
          <w:ilvl w:val="0"/>
          <w:numId w:val="6"/>
        </w:numPr>
        <w:sectPr w:rsidR="00F96334" w:rsidSect="00F96334">
          <w:pgSz w:w="16840" w:h="11910" w:orient="landscape"/>
          <w:pgMar w:top="1276" w:right="1843" w:bottom="1278" w:left="1134" w:header="794" w:footer="170" w:gutter="0"/>
          <w:cols w:space="720"/>
          <w:titlePg/>
          <w:docGrid w:linePitch="299"/>
        </w:sectPr>
      </w:pPr>
      <w:r w:rsidRPr="00E0032E">
        <w:rPr>
          <w:b/>
          <w:bCs/>
        </w:rPr>
        <w:t>Annual Review:</w:t>
      </w:r>
      <w:r w:rsidRPr="00E0032E">
        <w:t xml:space="preserve"> The Committee will review the framework annually to confirm relevance, data quality, and alignment with strategic objectives.</w:t>
      </w:r>
    </w:p>
    <w:p w14:paraId="7C1DCFDB" w14:textId="77777777" w:rsidR="00E540F8" w:rsidRDefault="00F96334" w:rsidP="003B2555">
      <w:pPr>
        <w:pStyle w:val="Heading2"/>
      </w:pPr>
      <w:bookmarkStart w:id="14" w:name="_Toc211602328"/>
      <w:r>
        <w:lastRenderedPageBreak/>
        <w:t>Appendix B: People Committee Agenda Template</w:t>
      </w:r>
      <w:bookmarkEnd w:id="14"/>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8"/>
        <w:gridCol w:w="4385"/>
        <w:gridCol w:w="2830"/>
        <w:gridCol w:w="1583"/>
      </w:tblGrid>
      <w:tr w:rsidR="00E540F8" w:rsidRPr="00E540F8" w14:paraId="4CB9AE41" w14:textId="77777777" w:rsidTr="00E540F8">
        <w:trPr>
          <w:tblHeader/>
          <w:tblCellSpacing w:w="15" w:type="dxa"/>
        </w:trPr>
        <w:tc>
          <w:tcPr>
            <w:tcW w:w="0" w:type="auto"/>
            <w:shd w:val="clear" w:color="auto" w:fill="007777" w:themeFill="accent1"/>
            <w:vAlign w:val="center"/>
            <w:hideMark/>
          </w:tcPr>
          <w:p w14:paraId="623C9890" w14:textId="77777777" w:rsidR="00E540F8" w:rsidRPr="00E540F8" w:rsidRDefault="00E540F8" w:rsidP="00E540F8">
            <w:pPr>
              <w:rPr>
                <w:rFonts w:cs="Arial"/>
                <w:b/>
                <w:bCs/>
                <w:color w:val="FFFFFF" w:themeColor="background1"/>
                <w:lang w:bidi="en-US"/>
              </w:rPr>
            </w:pPr>
            <w:r w:rsidRPr="00E540F8">
              <w:rPr>
                <w:rFonts w:cs="Arial"/>
                <w:b/>
                <w:bCs/>
                <w:color w:val="FFFFFF" w:themeColor="background1"/>
                <w:lang w:bidi="en-US"/>
              </w:rPr>
              <w:t>Item</w:t>
            </w:r>
          </w:p>
        </w:tc>
        <w:tc>
          <w:tcPr>
            <w:tcW w:w="0" w:type="auto"/>
            <w:shd w:val="clear" w:color="auto" w:fill="007777" w:themeFill="accent1"/>
            <w:vAlign w:val="center"/>
            <w:hideMark/>
          </w:tcPr>
          <w:p w14:paraId="49B5B177" w14:textId="77777777" w:rsidR="00E540F8" w:rsidRPr="00E540F8" w:rsidRDefault="00E540F8" w:rsidP="00E540F8">
            <w:pPr>
              <w:rPr>
                <w:rFonts w:cs="Arial"/>
                <w:b/>
                <w:bCs/>
                <w:color w:val="FFFFFF" w:themeColor="background1"/>
                <w:lang w:bidi="en-US"/>
              </w:rPr>
            </w:pPr>
            <w:r w:rsidRPr="00E540F8">
              <w:rPr>
                <w:rFonts w:cs="Arial"/>
                <w:b/>
                <w:bCs/>
                <w:color w:val="FFFFFF" w:themeColor="background1"/>
                <w:lang w:bidi="en-US"/>
              </w:rPr>
              <w:t>Topic</w:t>
            </w:r>
          </w:p>
        </w:tc>
        <w:tc>
          <w:tcPr>
            <w:tcW w:w="0" w:type="auto"/>
            <w:shd w:val="clear" w:color="auto" w:fill="007777" w:themeFill="accent1"/>
            <w:vAlign w:val="center"/>
            <w:hideMark/>
          </w:tcPr>
          <w:p w14:paraId="5A66044F" w14:textId="77777777" w:rsidR="00E540F8" w:rsidRPr="00E540F8" w:rsidRDefault="00E540F8" w:rsidP="00E540F8">
            <w:pPr>
              <w:rPr>
                <w:rFonts w:cs="Arial"/>
                <w:b/>
                <w:bCs/>
                <w:color w:val="FFFFFF" w:themeColor="background1"/>
                <w:lang w:bidi="en-US"/>
              </w:rPr>
            </w:pPr>
            <w:r w:rsidRPr="00E540F8">
              <w:rPr>
                <w:rFonts w:cs="Arial"/>
                <w:b/>
                <w:bCs/>
                <w:color w:val="FFFFFF" w:themeColor="background1"/>
                <w:lang w:bidi="en-US"/>
              </w:rPr>
              <w:t>Lead / Presenter</w:t>
            </w:r>
          </w:p>
        </w:tc>
        <w:tc>
          <w:tcPr>
            <w:tcW w:w="0" w:type="auto"/>
            <w:shd w:val="clear" w:color="auto" w:fill="007777" w:themeFill="accent1"/>
            <w:vAlign w:val="center"/>
            <w:hideMark/>
          </w:tcPr>
          <w:p w14:paraId="16C041FD" w14:textId="77777777" w:rsidR="00E540F8" w:rsidRPr="00E540F8" w:rsidRDefault="00E540F8" w:rsidP="00E540F8">
            <w:pPr>
              <w:rPr>
                <w:rFonts w:cs="Arial"/>
                <w:b/>
                <w:bCs/>
                <w:color w:val="FFFFFF" w:themeColor="background1"/>
                <w:lang w:bidi="en-US"/>
              </w:rPr>
            </w:pPr>
            <w:r w:rsidRPr="00E540F8">
              <w:rPr>
                <w:rFonts w:cs="Arial"/>
                <w:b/>
                <w:bCs/>
                <w:color w:val="FFFFFF" w:themeColor="background1"/>
                <w:lang w:bidi="en-US"/>
              </w:rPr>
              <w:t>Purpose</w:t>
            </w:r>
          </w:p>
        </w:tc>
      </w:tr>
      <w:tr w:rsidR="00E540F8" w:rsidRPr="00E540F8" w14:paraId="1A935FA7" w14:textId="77777777" w:rsidTr="00E540F8">
        <w:trPr>
          <w:tblCellSpacing w:w="15" w:type="dxa"/>
        </w:trPr>
        <w:tc>
          <w:tcPr>
            <w:tcW w:w="0" w:type="auto"/>
            <w:vAlign w:val="center"/>
            <w:hideMark/>
          </w:tcPr>
          <w:p w14:paraId="0A5EE1FC"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b/>
                <w:bCs/>
                <w:lang w:eastAsia="en-GB"/>
              </w:rPr>
              <w:t>1</w:t>
            </w:r>
          </w:p>
        </w:tc>
        <w:tc>
          <w:tcPr>
            <w:tcW w:w="0" w:type="auto"/>
            <w:vAlign w:val="center"/>
            <w:hideMark/>
          </w:tcPr>
          <w:p w14:paraId="75104960"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Welcome, Apologies and Declarations of Interest</w:t>
            </w:r>
          </w:p>
        </w:tc>
        <w:tc>
          <w:tcPr>
            <w:tcW w:w="0" w:type="auto"/>
            <w:vAlign w:val="center"/>
            <w:hideMark/>
          </w:tcPr>
          <w:p w14:paraId="0CDBD6FF"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Chair</w:t>
            </w:r>
          </w:p>
        </w:tc>
        <w:tc>
          <w:tcPr>
            <w:tcW w:w="0" w:type="auto"/>
            <w:vAlign w:val="center"/>
            <w:hideMark/>
          </w:tcPr>
          <w:p w14:paraId="68D3B67F"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Note</w:t>
            </w:r>
          </w:p>
        </w:tc>
      </w:tr>
      <w:tr w:rsidR="00E540F8" w:rsidRPr="00E540F8" w14:paraId="2BC14FD9" w14:textId="77777777" w:rsidTr="00E540F8">
        <w:trPr>
          <w:tblCellSpacing w:w="15" w:type="dxa"/>
        </w:trPr>
        <w:tc>
          <w:tcPr>
            <w:tcW w:w="0" w:type="auto"/>
            <w:vAlign w:val="center"/>
            <w:hideMark/>
          </w:tcPr>
          <w:p w14:paraId="22C9531A"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b/>
                <w:bCs/>
                <w:lang w:eastAsia="en-GB"/>
              </w:rPr>
              <w:t>2</w:t>
            </w:r>
          </w:p>
        </w:tc>
        <w:tc>
          <w:tcPr>
            <w:tcW w:w="0" w:type="auto"/>
            <w:vAlign w:val="center"/>
            <w:hideMark/>
          </w:tcPr>
          <w:p w14:paraId="2085C039"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Minutes of Previous Meeting and Action Log Review</w:t>
            </w:r>
          </w:p>
        </w:tc>
        <w:tc>
          <w:tcPr>
            <w:tcW w:w="0" w:type="auto"/>
            <w:vAlign w:val="center"/>
            <w:hideMark/>
          </w:tcPr>
          <w:p w14:paraId="462C11E4"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Chair</w:t>
            </w:r>
          </w:p>
        </w:tc>
        <w:tc>
          <w:tcPr>
            <w:tcW w:w="0" w:type="auto"/>
            <w:vAlign w:val="center"/>
            <w:hideMark/>
          </w:tcPr>
          <w:p w14:paraId="23B720BC"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Approve / Update</w:t>
            </w:r>
          </w:p>
        </w:tc>
      </w:tr>
      <w:tr w:rsidR="00E540F8" w:rsidRPr="00E540F8" w14:paraId="6D996AA8" w14:textId="77777777" w:rsidTr="00E540F8">
        <w:trPr>
          <w:tblCellSpacing w:w="15" w:type="dxa"/>
        </w:trPr>
        <w:tc>
          <w:tcPr>
            <w:tcW w:w="0" w:type="auto"/>
            <w:vAlign w:val="center"/>
            <w:hideMark/>
          </w:tcPr>
          <w:p w14:paraId="3220FE1E"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b/>
                <w:bCs/>
                <w:lang w:eastAsia="en-GB"/>
              </w:rPr>
              <w:t>3</w:t>
            </w:r>
          </w:p>
        </w:tc>
        <w:tc>
          <w:tcPr>
            <w:tcW w:w="0" w:type="auto"/>
            <w:vAlign w:val="center"/>
            <w:hideMark/>
          </w:tcPr>
          <w:p w14:paraId="36C186E9"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Matters Arising Not on the Agenda</w:t>
            </w:r>
          </w:p>
        </w:tc>
        <w:tc>
          <w:tcPr>
            <w:tcW w:w="0" w:type="auto"/>
            <w:vAlign w:val="center"/>
            <w:hideMark/>
          </w:tcPr>
          <w:p w14:paraId="39617375"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Chair</w:t>
            </w:r>
          </w:p>
        </w:tc>
        <w:tc>
          <w:tcPr>
            <w:tcW w:w="0" w:type="auto"/>
            <w:vAlign w:val="center"/>
            <w:hideMark/>
          </w:tcPr>
          <w:p w14:paraId="6A972F09"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Discuss</w:t>
            </w:r>
          </w:p>
        </w:tc>
      </w:tr>
      <w:tr w:rsidR="00E540F8" w:rsidRPr="00E540F8" w14:paraId="452D1D46" w14:textId="77777777" w:rsidTr="0064632D">
        <w:trPr>
          <w:trHeight w:val="2034"/>
          <w:tblCellSpacing w:w="15" w:type="dxa"/>
        </w:trPr>
        <w:tc>
          <w:tcPr>
            <w:tcW w:w="0" w:type="auto"/>
            <w:hideMark/>
          </w:tcPr>
          <w:p w14:paraId="319D99BB" w14:textId="77777777" w:rsidR="00E540F8" w:rsidRPr="00E540F8" w:rsidRDefault="00E540F8" w:rsidP="00E540F8">
            <w:pPr>
              <w:spacing w:before="120" w:after="0" w:line="240" w:lineRule="auto"/>
              <w:rPr>
                <w:rFonts w:asciiTheme="minorHAnsi" w:eastAsia="Times New Roman" w:hAnsiTheme="minorHAnsi" w:cstheme="minorHAnsi"/>
                <w:b/>
                <w:bCs/>
                <w:lang w:eastAsia="en-GB"/>
              </w:rPr>
            </w:pPr>
            <w:r w:rsidRPr="00E540F8">
              <w:rPr>
                <w:rFonts w:asciiTheme="minorHAnsi" w:eastAsia="Times New Roman" w:hAnsiTheme="minorHAnsi" w:cstheme="minorHAnsi"/>
                <w:b/>
                <w:bCs/>
                <w:lang w:eastAsia="en-GB"/>
              </w:rPr>
              <w:t>4</w:t>
            </w:r>
          </w:p>
        </w:tc>
        <w:tc>
          <w:tcPr>
            <w:tcW w:w="0" w:type="auto"/>
            <w:hideMark/>
          </w:tcPr>
          <w:p w14:paraId="1842CA54" w14:textId="2626DC35" w:rsidR="00E540F8" w:rsidRDefault="00E540F8" w:rsidP="00E540F8">
            <w:pPr>
              <w:spacing w:before="120" w:after="0" w:line="240" w:lineRule="auto"/>
              <w:rPr>
                <w:rFonts w:asciiTheme="minorHAnsi" w:eastAsia="Times New Roman" w:hAnsiTheme="minorHAnsi" w:cstheme="minorHAnsi"/>
                <w:lang w:eastAsia="en-GB"/>
              </w:rPr>
            </w:pPr>
            <w:r>
              <w:rPr>
                <w:rFonts w:asciiTheme="minorHAnsi" w:eastAsia="Times New Roman" w:hAnsiTheme="minorHAnsi" w:cstheme="minorHAnsi"/>
                <w:lang w:eastAsia="en-GB"/>
              </w:rPr>
              <w:t>Workforce Assurance Reports</w:t>
            </w:r>
            <w:r>
              <w:rPr>
                <w:rFonts w:asciiTheme="minorHAnsi" w:eastAsia="Times New Roman" w:hAnsiTheme="minorHAnsi" w:cstheme="minorHAnsi"/>
                <w:lang w:eastAsia="en-GB"/>
              </w:rPr>
              <w:br/>
              <w:t>Frequency as per reporting framework</w:t>
            </w:r>
            <w:r>
              <w:rPr>
                <w:rFonts w:asciiTheme="minorHAnsi" w:eastAsia="Times New Roman" w:hAnsiTheme="minorHAnsi" w:cstheme="minorHAnsi"/>
                <w:lang w:eastAsia="en-GB"/>
              </w:rPr>
              <w:br/>
            </w:r>
          </w:p>
          <w:p w14:paraId="39FF51FC" w14:textId="313D506A" w:rsidR="00E540F8" w:rsidRPr="00E540F8" w:rsidRDefault="00E540F8" w:rsidP="00E540F8">
            <w:pPr>
              <w:spacing w:before="120" w:after="0" w:line="240" w:lineRule="auto"/>
              <w:rPr>
                <w:rFonts w:asciiTheme="minorHAnsi" w:eastAsia="Times New Roman" w:hAnsiTheme="minorHAnsi" w:cstheme="minorHAnsi"/>
                <w:lang w:eastAsia="en-GB"/>
              </w:rPr>
            </w:pPr>
            <w:r>
              <w:rPr>
                <w:rFonts w:asciiTheme="minorHAnsi" w:eastAsia="Times New Roman" w:hAnsiTheme="minorHAnsi" w:cstheme="minorHAnsi"/>
                <w:lang w:eastAsia="en-GB"/>
              </w:rPr>
              <w:t>-</w:t>
            </w:r>
            <w:r w:rsidRPr="00E540F8">
              <w:rPr>
                <w:rFonts w:asciiTheme="minorHAnsi" w:eastAsia="Times New Roman" w:hAnsiTheme="minorHAnsi" w:cstheme="minorHAnsi"/>
                <w:lang w:eastAsia="en-GB"/>
              </w:rPr>
              <w:t xml:space="preserve"> Resourcing</w:t>
            </w:r>
          </w:p>
          <w:p w14:paraId="668B2FB1" w14:textId="32C5AA60"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 Engagement &amp; Culture</w:t>
            </w:r>
          </w:p>
          <w:p w14:paraId="048C597A" w14:textId="1FF18C6E"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 Wellbeing</w:t>
            </w:r>
          </w:p>
          <w:p w14:paraId="5464AA8D" w14:textId="2BAB2033"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 EDI</w:t>
            </w:r>
          </w:p>
          <w:p w14:paraId="451E88B4" w14:textId="77777777" w:rsid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 Risk &amp; Compliance</w:t>
            </w:r>
          </w:p>
          <w:p w14:paraId="50CFEA12" w14:textId="77777777" w:rsidR="00E540F8" w:rsidRDefault="00E540F8" w:rsidP="00E540F8">
            <w:pPr>
              <w:spacing w:before="120" w:after="0" w:line="240" w:lineRule="auto"/>
              <w:rPr>
                <w:rFonts w:asciiTheme="minorHAnsi" w:eastAsia="Times New Roman" w:hAnsiTheme="minorHAnsi" w:cstheme="minorHAnsi"/>
                <w:lang w:eastAsia="en-GB"/>
              </w:rPr>
            </w:pPr>
          </w:p>
          <w:p w14:paraId="061F6797" w14:textId="4EC8623E" w:rsidR="00E540F8" w:rsidRPr="00E540F8" w:rsidRDefault="00E540F8" w:rsidP="00E540F8">
            <w:pPr>
              <w:spacing w:before="120" w:after="0" w:line="240" w:lineRule="auto"/>
              <w:rPr>
                <w:rFonts w:asciiTheme="minorHAnsi" w:eastAsia="Times New Roman" w:hAnsiTheme="minorHAnsi" w:cstheme="minorHAnsi"/>
                <w:lang w:eastAsia="en-GB"/>
              </w:rPr>
            </w:pPr>
          </w:p>
        </w:tc>
        <w:tc>
          <w:tcPr>
            <w:tcW w:w="0" w:type="auto"/>
            <w:vAlign w:val="center"/>
            <w:hideMark/>
          </w:tcPr>
          <w:p w14:paraId="7DD5B85C"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Director of People / People Ops Manager</w:t>
            </w:r>
          </w:p>
        </w:tc>
        <w:tc>
          <w:tcPr>
            <w:tcW w:w="0" w:type="auto"/>
            <w:vAlign w:val="center"/>
            <w:hideMark/>
          </w:tcPr>
          <w:p w14:paraId="0B0E9D95"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Review / Scrutinise</w:t>
            </w:r>
          </w:p>
        </w:tc>
      </w:tr>
      <w:tr w:rsidR="00E540F8" w:rsidRPr="00E540F8" w14:paraId="2F3A4244" w14:textId="77777777" w:rsidTr="00E540F8">
        <w:trPr>
          <w:tblCellSpacing w:w="15" w:type="dxa"/>
        </w:trPr>
        <w:tc>
          <w:tcPr>
            <w:tcW w:w="0" w:type="auto"/>
            <w:vAlign w:val="center"/>
            <w:hideMark/>
          </w:tcPr>
          <w:p w14:paraId="611FAC51"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b/>
                <w:bCs/>
                <w:lang w:eastAsia="en-GB"/>
              </w:rPr>
              <w:t>5</w:t>
            </w:r>
          </w:p>
        </w:tc>
        <w:tc>
          <w:tcPr>
            <w:tcW w:w="0" w:type="auto"/>
            <w:vAlign w:val="center"/>
            <w:hideMark/>
          </w:tcPr>
          <w:p w14:paraId="172286AE" w14:textId="3BDAA975"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 xml:space="preserve">Deep Dive / Thematic Review </w:t>
            </w:r>
          </w:p>
        </w:tc>
        <w:tc>
          <w:tcPr>
            <w:tcW w:w="0" w:type="auto"/>
            <w:vAlign w:val="center"/>
            <w:hideMark/>
          </w:tcPr>
          <w:p w14:paraId="2295803A" w14:textId="74298FDA"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Relevant Service Lead</w:t>
            </w:r>
          </w:p>
        </w:tc>
        <w:tc>
          <w:tcPr>
            <w:tcW w:w="0" w:type="auto"/>
            <w:vAlign w:val="center"/>
            <w:hideMark/>
          </w:tcPr>
          <w:p w14:paraId="5C6501B1"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Scrutinise / Assure</w:t>
            </w:r>
          </w:p>
        </w:tc>
      </w:tr>
      <w:tr w:rsidR="00E540F8" w:rsidRPr="00E540F8" w14:paraId="1829CFE7" w14:textId="77777777" w:rsidTr="00E540F8">
        <w:trPr>
          <w:tblCellSpacing w:w="15" w:type="dxa"/>
        </w:trPr>
        <w:tc>
          <w:tcPr>
            <w:tcW w:w="0" w:type="auto"/>
            <w:vAlign w:val="center"/>
            <w:hideMark/>
          </w:tcPr>
          <w:p w14:paraId="690CF135"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b/>
                <w:bCs/>
                <w:lang w:eastAsia="en-GB"/>
              </w:rPr>
              <w:t>6</w:t>
            </w:r>
          </w:p>
        </w:tc>
        <w:tc>
          <w:tcPr>
            <w:tcW w:w="0" w:type="auto"/>
            <w:vAlign w:val="center"/>
            <w:hideMark/>
          </w:tcPr>
          <w:p w14:paraId="308E7B89" w14:textId="7A93BE9D"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Workforce Risks and Mitigations</w:t>
            </w:r>
          </w:p>
        </w:tc>
        <w:tc>
          <w:tcPr>
            <w:tcW w:w="0" w:type="auto"/>
            <w:vAlign w:val="center"/>
            <w:hideMark/>
          </w:tcPr>
          <w:p w14:paraId="65260538"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Director of People</w:t>
            </w:r>
          </w:p>
        </w:tc>
        <w:tc>
          <w:tcPr>
            <w:tcW w:w="0" w:type="auto"/>
            <w:vAlign w:val="center"/>
            <w:hideMark/>
          </w:tcPr>
          <w:p w14:paraId="7EA315FF"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Review / Escalate</w:t>
            </w:r>
          </w:p>
        </w:tc>
      </w:tr>
      <w:tr w:rsidR="00E540F8" w:rsidRPr="00E540F8" w14:paraId="43D868BD" w14:textId="77777777" w:rsidTr="00E540F8">
        <w:trPr>
          <w:tblCellSpacing w:w="15" w:type="dxa"/>
        </w:trPr>
        <w:tc>
          <w:tcPr>
            <w:tcW w:w="0" w:type="auto"/>
            <w:vAlign w:val="center"/>
            <w:hideMark/>
          </w:tcPr>
          <w:p w14:paraId="1719A1D8"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b/>
                <w:bCs/>
                <w:lang w:eastAsia="en-GB"/>
              </w:rPr>
              <w:t>7</w:t>
            </w:r>
          </w:p>
        </w:tc>
        <w:tc>
          <w:tcPr>
            <w:tcW w:w="0" w:type="auto"/>
            <w:vAlign w:val="center"/>
            <w:hideMark/>
          </w:tcPr>
          <w:p w14:paraId="4D62958A"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Policy or Framework Updates for Approval (if any)</w:t>
            </w:r>
          </w:p>
        </w:tc>
        <w:tc>
          <w:tcPr>
            <w:tcW w:w="0" w:type="auto"/>
            <w:vAlign w:val="center"/>
            <w:hideMark/>
          </w:tcPr>
          <w:p w14:paraId="5A0FA034" w14:textId="6128512D"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Director of People / Policy Lead</w:t>
            </w:r>
          </w:p>
        </w:tc>
        <w:tc>
          <w:tcPr>
            <w:tcW w:w="0" w:type="auto"/>
            <w:vAlign w:val="center"/>
            <w:hideMark/>
          </w:tcPr>
          <w:p w14:paraId="2481D943"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Approve</w:t>
            </w:r>
          </w:p>
        </w:tc>
      </w:tr>
      <w:tr w:rsidR="00E540F8" w:rsidRPr="00E540F8" w14:paraId="7F163AA2" w14:textId="77777777" w:rsidTr="00E540F8">
        <w:trPr>
          <w:tblCellSpacing w:w="15" w:type="dxa"/>
        </w:trPr>
        <w:tc>
          <w:tcPr>
            <w:tcW w:w="0" w:type="auto"/>
            <w:vAlign w:val="center"/>
            <w:hideMark/>
          </w:tcPr>
          <w:p w14:paraId="603702CF"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b/>
                <w:bCs/>
                <w:lang w:eastAsia="en-GB"/>
              </w:rPr>
              <w:t>8</w:t>
            </w:r>
          </w:p>
        </w:tc>
        <w:tc>
          <w:tcPr>
            <w:tcW w:w="0" w:type="auto"/>
            <w:vAlign w:val="center"/>
            <w:hideMark/>
          </w:tcPr>
          <w:p w14:paraId="3973AB79" w14:textId="711C72E0"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 xml:space="preserve">Co-Owner </w:t>
            </w:r>
            <w:r w:rsidR="00590246">
              <w:rPr>
                <w:rFonts w:asciiTheme="minorHAnsi" w:eastAsia="Times New Roman" w:hAnsiTheme="minorHAnsi" w:cstheme="minorHAnsi"/>
                <w:lang w:eastAsia="en-GB"/>
              </w:rPr>
              <w:t xml:space="preserve">Voice: </w:t>
            </w:r>
            <w:r w:rsidR="001829F3">
              <w:rPr>
                <w:rFonts w:asciiTheme="minorHAnsi" w:eastAsia="Times New Roman" w:hAnsiTheme="minorHAnsi" w:cstheme="minorHAnsi"/>
                <w:lang w:eastAsia="en-GB"/>
              </w:rPr>
              <w:t xml:space="preserve">feedback </w:t>
            </w:r>
            <w:r w:rsidR="00590246">
              <w:rPr>
                <w:rFonts w:asciiTheme="minorHAnsi" w:eastAsia="Times New Roman" w:hAnsiTheme="minorHAnsi" w:cstheme="minorHAnsi"/>
                <w:lang w:eastAsia="en-GB"/>
              </w:rPr>
              <w:t>from Co-owners and Council</w:t>
            </w:r>
          </w:p>
        </w:tc>
        <w:tc>
          <w:tcPr>
            <w:tcW w:w="0" w:type="auto"/>
            <w:vAlign w:val="center"/>
            <w:hideMark/>
          </w:tcPr>
          <w:p w14:paraId="2586067E" w14:textId="1E780038"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Co-Owner Rep</w:t>
            </w:r>
          </w:p>
        </w:tc>
        <w:tc>
          <w:tcPr>
            <w:tcW w:w="0" w:type="auto"/>
            <w:vAlign w:val="center"/>
            <w:hideMark/>
          </w:tcPr>
          <w:p w14:paraId="21B3D8D5"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Note / Discuss</w:t>
            </w:r>
          </w:p>
        </w:tc>
      </w:tr>
      <w:tr w:rsidR="00E540F8" w:rsidRPr="00E540F8" w14:paraId="3328C92D" w14:textId="77777777" w:rsidTr="00E540F8">
        <w:trPr>
          <w:tblCellSpacing w:w="15" w:type="dxa"/>
        </w:trPr>
        <w:tc>
          <w:tcPr>
            <w:tcW w:w="0" w:type="auto"/>
            <w:vAlign w:val="center"/>
            <w:hideMark/>
          </w:tcPr>
          <w:p w14:paraId="12D44640"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b/>
                <w:bCs/>
                <w:lang w:eastAsia="en-GB"/>
              </w:rPr>
              <w:t>9</w:t>
            </w:r>
          </w:p>
        </w:tc>
        <w:tc>
          <w:tcPr>
            <w:tcW w:w="0" w:type="auto"/>
            <w:vAlign w:val="center"/>
            <w:hideMark/>
          </w:tcPr>
          <w:p w14:paraId="7497C037"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Items for Escalation to Combined Board</w:t>
            </w:r>
          </w:p>
        </w:tc>
        <w:tc>
          <w:tcPr>
            <w:tcW w:w="0" w:type="auto"/>
            <w:vAlign w:val="center"/>
            <w:hideMark/>
          </w:tcPr>
          <w:p w14:paraId="7CB5FC4E"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Chair</w:t>
            </w:r>
          </w:p>
        </w:tc>
        <w:tc>
          <w:tcPr>
            <w:tcW w:w="0" w:type="auto"/>
            <w:vAlign w:val="center"/>
            <w:hideMark/>
          </w:tcPr>
          <w:p w14:paraId="6C9D4620"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Agree</w:t>
            </w:r>
          </w:p>
        </w:tc>
      </w:tr>
      <w:tr w:rsidR="00E540F8" w:rsidRPr="00E540F8" w14:paraId="1E939A6A" w14:textId="77777777" w:rsidTr="00E540F8">
        <w:trPr>
          <w:tblCellSpacing w:w="15" w:type="dxa"/>
        </w:trPr>
        <w:tc>
          <w:tcPr>
            <w:tcW w:w="0" w:type="auto"/>
            <w:vAlign w:val="center"/>
            <w:hideMark/>
          </w:tcPr>
          <w:p w14:paraId="3EBA9E03"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b/>
                <w:bCs/>
                <w:lang w:eastAsia="en-GB"/>
              </w:rPr>
              <w:t>10</w:t>
            </w:r>
          </w:p>
        </w:tc>
        <w:tc>
          <w:tcPr>
            <w:tcW w:w="0" w:type="auto"/>
            <w:vAlign w:val="center"/>
            <w:hideMark/>
          </w:tcPr>
          <w:p w14:paraId="184CAAB1"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Forward Look – Upcoming Reports, Deep Dives, and Annual Items</w:t>
            </w:r>
          </w:p>
        </w:tc>
        <w:tc>
          <w:tcPr>
            <w:tcW w:w="0" w:type="auto"/>
            <w:vAlign w:val="center"/>
            <w:hideMark/>
          </w:tcPr>
          <w:p w14:paraId="503CF45C" w14:textId="719F21C7" w:rsidR="00E540F8" w:rsidRPr="00E540F8" w:rsidRDefault="00E540F8" w:rsidP="00E540F8">
            <w:pPr>
              <w:spacing w:before="120" w:after="0" w:line="240" w:lineRule="auto"/>
              <w:rPr>
                <w:rFonts w:asciiTheme="minorHAnsi" w:eastAsia="Times New Roman" w:hAnsiTheme="minorHAnsi" w:cstheme="minorHAnsi"/>
                <w:lang w:eastAsia="en-GB"/>
              </w:rPr>
            </w:pPr>
            <w:r>
              <w:rPr>
                <w:rFonts w:asciiTheme="minorHAnsi" w:eastAsia="Times New Roman" w:hAnsiTheme="minorHAnsi" w:cstheme="minorHAnsi"/>
                <w:lang w:eastAsia="en-GB"/>
              </w:rPr>
              <w:t>All</w:t>
            </w:r>
          </w:p>
        </w:tc>
        <w:tc>
          <w:tcPr>
            <w:tcW w:w="0" w:type="auto"/>
            <w:vAlign w:val="center"/>
            <w:hideMark/>
          </w:tcPr>
          <w:p w14:paraId="4D773FC4"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Note</w:t>
            </w:r>
          </w:p>
        </w:tc>
      </w:tr>
      <w:tr w:rsidR="00E540F8" w:rsidRPr="00E540F8" w14:paraId="71969CC2" w14:textId="77777777" w:rsidTr="00E540F8">
        <w:trPr>
          <w:tblCellSpacing w:w="15" w:type="dxa"/>
        </w:trPr>
        <w:tc>
          <w:tcPr>
            <w:tcW w:w="0" w:type="auto"/>
            <w:vAlign w:val="center"/>
            <w:hideMark/>
          </w:tcPr>
          <w:p w14:paraId="1F97A3B6"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b/>
                <w:bCs/>
                <w:lang w:eastAsia="en-GB"/>
              </w:rPr>
              <w:t>11</w:t>
            </w:r>
          </w:p>
        </w:tc>
        <w:tc>
          <w:tcPr>
            <w:tcW w:w="0" w:type="auto"/>
            <w:vAlign w:val="center"/>
            <w:hideMark/>
          </w:tcPr>
          <w:p w14:paraId="1770305F"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Any Other Business</w:t>
            </w:r>
          </w:p>
        </w:tc>
        <w:tc>
          <w:tcPr>
            <w:tcW w:w="0" w:type="auto"/>
            <w:vAlign w:val="center"/>
            <w:hideMark/>
          </w:tcPr>
          <w:p w14:paraId="45FC6947"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All</w:t>
            </w:r>
          </w:p>
        </w:tc>
        <w:tc>
          <w:tcPr>
            <w:tcW w:w="0" w:type="auto"/>
            <w:vAlign w:val="center"/>
            <w:hideMark/>
          </w:tcPr>
          <w:p w14:paraId="7F5FAE8B"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Discuss</w:t>
            </w:r>
          </w:p>
        </w:tc>
      </w:tr>
      <w:tr w:rsidR="00E540F8" w:rsidRPr="00E540F8" w14:paraId="5C0F0A19" w14:textId="77777777" w:rsidTr="00E540F8">
        <w:trPr>
          <w:tblCellSpacing w:w="15" w:type="dxa"/>
        </w:trPr>
        <w:tc>
          <w:tcPr>
            <w:tcW w:w="0" w:type="auto"/>
            <w:vAlign w:val="center"/>
            <w:hideMark/>
          </w:tcPr>
          <w:p w14:paraId="3A08A8E0"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b/>
                <w:bCs/>
                <w:lang w:eastAsia="en-GB"/>
              </w:rPr>
              <w:t>12</w:t>
            </w:r>
          </w:p>
        </w:tc>
        <w:tc>
          <w:tcPr>
            <w:tcW w:w="0" w:type="auto"/>
            <w:vAlign w:val="center"/>
            <w:hideMark/>
          </w:tcPr>
          <w:p w14:paraId="79437083"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Meeting Effectiveness Review and Close</w:t>
            </w:r>
          </w:p>
        </w:tc>
        <w:tc>
          <w:tcPr>
            <w:tcW w:w="0" w:type="auto"/>
            <w:vAlign w:val="center"/>
            <w:hideMark/>
          </w:tcPr>
          <w:p w14:paraId="2B405B4F"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Chair</w:t>
            </w:r>
          </w:p>
        </w:tc>
        <w:tc>
          <w:tcPr>
            <w:tcW w:w="0" w:type="auto"/>
            <w:vAlign w:val="center"/>
            <w:hideMark/>
          </w:tcPr>
          <w:p w14:paraId="5EFBBA24" w14:textId="77777777" w:rsidR="00E540F8" w:rsidRPr="00E540F8" w:rsidRDefault="00E540F8" w:rsidP="00E540F8">
            <w:pPr>
              <w:spacing w:before="120" w:after="0" w:line="240" w:lineRule="auto"/>
              <w:rPr>
                <w:rFonts w:asciiTheme="minorHAnsi" w:eastAsia="Times New Roman" w:hAnsiTheme="minorHAnsi" w:cstheme="minorHAnsi"/>
                <w:lang w:eastAsia="en-GB"/>
              </w:rPr>
            </w:pPr>
            <w:r w:rsidRPr="00E540F8">
              <w:rPr>
                <w:rFonts w:asciiTheme="minorHAnsi" w:eastAsia="Times New Roman" w:hAnsiTheme="minorHAnsi" w:cstheme="minorHAnsi"/>
                <w:lang w:eastAsia="en-GB"/>
              </w:rPr>
              <w:t>Reflect</w:t>
            </w:r>
          </w:p>
        </w:tc>
      </w:tr>
    </w:tbl>
    <w:p w14:paraId="42D11933" w14:textId="34BAC4D4" w:rsidR="00E0032E" w:rsidRPr="00F96334" w:rsidRDefault="00E0032E" w:rsidP="003B2555">
      <w:pPr>
        <w:pStyle w:val="Heading2"/>
      </w:pPr>
      <w:r>
        <w:lastRenderedPageBreak/>
        <w:br w:type="page"/>
      </w:r>
    </w:p>
    <w:p w14:paraId="4DAAF0C9" w14:textId="3823D957" w:rsidR="00426F5A" w:rsidRPr="00F80E44" w:rsidRDefault="001829F3" w:rsidP="003B2555">
      <w:pPr>
        <w:pStyle w:val="Heading2"/>
      </w:pPr>
      <w:bookmarkStart w:id="15" w:name="_Toc211602329"/>
      <w:r>
        <w:lastRenderedPageBreak/>
        <w:t xml:space="preserve">Appendix C: </w:t>
      </w:r>
      <w:r w:rsidR="004907AF">
        <w:t>Version Control</w:t>
      </w:r>
      <w:bookmarkEnd w:id="1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1237"/>
        <w:gridCol w:w="2271"/>
        <w:gridCol w:w="4815"/>
      </w:tblGrid>
      <w:tr w:rsidR="00426F5A" w:rsidRPr="00F80E44" w14:paraId="55CE2B61" w14:textId="77777777" w:rsidTr="0077433A">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4E849FEC" w:rsidR="00426F5A" w:rsidRPr="002358A6" w:rsidRDefault="00484426" w:rsidP="000435A3">
            <w:pPr>
              <w:rPr>
                <w:rFonts w:cs="Arial"/>
                <w:b/>
                <w:bCs/>
                <w:color w:val="FFFFFF" w:themeColor="background1"/>
                <w:lang w:bidi="en-US"/>
              </w:rPr>
            </w:pPr>
            <w:r>
              <w:rPr>
                <w:rFonts w:cs="Arial"/>
                <w:b/>
                <w:bCs/>
                <w:color w:val="FFFFFF" w:themeColor="background1"/>
                <w:lang w:bidi="en-US"/>
              </w:rPr>
              <w:t>Version</w:t>
            </w:r>
          </w:p>
        </w:tc>
        <w:tc>
          <w:tcPr>
            <w:tcW w:w="66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777BCC68" w:rsidR="00426F5A" w:rsidRPr="002358A6" w:rsidRDefault="00484426" w:rsidP="000435A3">
            <w:pPr>
              <w:rPr>
                <w:rFonts w:cs="Arial"/>
                <w:b/>
                <w:bCs/>
                <w:color w:val="FFFFFF" w:themeColor="background1"/>
                <w:lang w:bidi="en-US"/>
              </w:rPr>
            </w:pPr>
            <w:r>
              <w:rPr>
                <w:rFonts w:cs="Arial"/>
                <w:b/>
                <w:bCs/>
                <w:color w:val="FFFFFF" w:themeColor="background1"/>
                <w:lang w:bidi="en-US"/>
              </w:rPr>
              <w:t>Date</w:t>
            </w:r>
          </w:p>
        </w:tc>
        <w:tc>
          <w:tcPr>
            <w:tcW w:w="1215"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7AF38C49" w:rsidR="00426F5A" w:rsidRPr="002358A6" w:rsidRDefault="0077433A" w:rsidP="000435A3">
            <w:pPr>
              <w:rPr>
                <w:rFonts w:cs="Arial"/>
                <w:b/>
                <w:bCs/>
                <w:color w:val="FFFFFF" w:themeColor="background1"/>
                <w:lang w:bidi="en-US"/>
              </w:rPr>
            </w:pPr>
            <w:r>
              <w:rPr>
                <w:rFonts w:cs="Arial"/>
                <w:b/>
                <w:bCs/>
                <w:color w:val="FFFFFF" w:themeColor="background1"/>
                <w:lang w:bidi="en-US"/>
              </w:rPr>
              <w:t>Owner</w:t>
            </w:r>
          </w:p>
        </w:tc>
        <w:tc>
          <w:tcPr>
            <w:tcW w:w="2576"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2898CBE" w:rsidR="00426F5A" w:rsidRPr="002358A6" w:rsidRDefault="00484426" w:rsidP="000435A3">
            <w:pPr>
              <w:rPr>
                <w:rFonts w:cs="Arial"/>
                <w:b/>
                <w:bCs/>
                <w:color w:val="FFFFFF" w:themeColor="background1"/>
                <w:lang w:bidi="en-US"/>
              </w:rPr>
            </w:pPr>
            <w:r>
              <w:rPr>
                <w:rFonts w:cs="Arial"/>
                <w:b/>
                <w:bCs/>
                <w:color w:val="FFFFFF" w:themeColor="background1"/>
                <w:lang w:bidi="en-US"/>
              </w:rPr>
              <w:t>Changes Overview</w:t>
            </w:r>
          </w:p>
        </w:tc>
      </w:tr>
      <w:tr w:rsidR="00426F5A" w:rsidRPr="00F80E44" w14:paraId="23509FEB" w14:textId="77777777" w:rsidTr="0077433A">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61630C31" w14:textId="178536F5" w:rsidR="00426F5A" w:rsidRPr="00467E32" w:rsidRDefault="00484426" w:rsidP="000435A3">
            <w:pPr>
              <w:spacing w:after="0"/>
              <w:rPr>
                <w:rFonts w:cs="Arial"/>
                <w:lang w:bidi="en-US"/>
              </w:rPr>
            </w:pPr>
            <w:r w:rsidRPr="00467E32">
              <w:rPr>
                <w:rFonts w:cs="Arial"/>
                <w:lang w:bidi="en-US"/>
              </w:rPr>
              <w:t>V1</w:t>
            </w:r>
            <w:r w:rsidR="00D11CCB" w:rsidRPr="00467E32">
              <w:rPr>
                <w:rFonts w:cs="Arial"/>
                <w:lang w:bidi="en-US"/>
              </w:rPr>
              <w:t>.0</w:t>
            </w:r>
          </w:p>
        </w:tc>
        <w:tc>
          <w:tcPr>
            <w:tcW w:w="662" w:type="pct"/>
            <w:tcBorders>
              <w:top w:val="single" w:sz="4" w:space="0" w:color="auto"/>
              <w:left w:val="single" w:sz="4" w:space="0" w:color="auto"/>
              <w:bottom w:val="single" w:sz="4" w:space="0" w:color="auto"/>
              <w:right w:val="single" w:sz="4" w:space="0" w:color="auto"/>
            </w:tcBorders>
            <w:vAlign w:val="center"/>
          </w:tcPr>
          <w:p w14:paraId="2FD7997B" w14:textId="604C347F" w:rsidR="00426F5A" w:rsidRPr="00467E32" w:rsidRDefault="00484426" w:rsidP="000435A3">
            <w:pPr>
              <w:spacing w:after="0"/>
              <w:rPr>
                <w:rFonts w:cs="Arial"/>
                <w:lang w:bidi="en-US"/>
              </w:rPr>
            </w:pPr>
            <w:r w:rsidRPr="00467E32">
              <w:rPr>
                <w:rFonts w:cs="Arial"/>
                <w:lang w:bidi="en-US"/>
              </w:rPr>
              <w:t>20</w:t>
            </w:r>
            <w:r w:rsidRPr="00467E32">
              <w:rPr>
                <w:rFonts w:cs="Arial"/>
                <w:vertAlign w:val="superscript"/>
                <w:lang w:bidi="en-US"/>
              </w:rPr>
              <w:t>th</w:t>
            </w:r>
            <w:r w:rsidRPr="00467E32">
              <w:rPr>
                <w:rFonts w:cs="Arial"/>
                <w:lang w:bidi="en-US"/>
              </w:rPr>
              <w:t xml:space="preserve"> November 2018</w:t>
            </w:r>
          </w:p>
        </w:tc>
        <w:tc>
          <w:tcPr>
            <w:tcW w:w="1215" w:type="pct"/>
            <w:tcBorders>
              <w:top w:val="single" w:sz="4" w:space="0" w:color="auto"/>
              <w:left w:val="single" w:sz="4" w:space="0" w:color="auto"/>
              <w:bottom w:val="single" w:sz="4" w:space="0" w:color="auto"/>
              <w:right w:val="single" w:sz="4" w:space="0" w:color="auto"/>
            </w:tcBorders>
            <w:vAlign w:val="center"/>
          </w:tcPr>
          <w:p w14:paraId="7D27C9D0" w14:textId="1AB6BB9D" w:rsidR="00426F5A" w:rsidRPr="00467E32" w:rsidRDefault="00467E32" w:rsidP="000435A3">
            <w:pPr>
              <w:spacing w:after="0"/>
              <w:rPr>
                <w:rFonts w:cs="Arial"/>
                <w:lang w:bidi="en-US"/>
              </w:rPr>
            </w:pPr>
            <w:r>
              <w:rPr>
                <w:rFonts w:cs="Arial"/>
                <w:lang w:bidi="en-US"/>
              </w:rPr>
              <w:t>Nick Harris (Director of Corporate Services)</w:t>
            </w:r>
          </w:p>
        </w:tc>
        <w:tc>
          <w:tcPr>
            <w:tcW w:w="2576" w:type="pct"/>
            <w:tcBorders>
              <w:top w:val="single" w:sz="4" w:space="0" w:color="auto"/>
              <w:left w:val="single" w:sz="4" w:space="0" w:color="auto"/>
              <w:bottom w:val="single" w:sz="4" w:space="0" w:color="auto"/>
              <w:right w:val="single" w:sz="4" w:space="0" w:color="auto"/>
            </w:tcBorders>
            <w:vAlign w:val="center"/>
          </w:tcPr>
          <w:p w14:paraId="7A76315C" w14:textId="52B51B36" w:rsidR="00426F5A" w:rsidRPr="00467E32" w:rsidRDefault="00484426" w:rsidP="000435A3">
            <w:pPr>
              <w:spacing w:after="0"/>
              <w:rPr>
                <w:rFonts w:cs="Arial"/>
                <w:lang w:bidi="en-US"/>
              </w:rPr>
            </w:pPr>
            <w:r w:rsidRPr="00467E32">
              <w:rPr>
                <w:rFonts w:cs="Arial"/>
                <w:lang w:bidi="en-US"/>
              </w:rPr>
              <w:t>Initial TOR</w:t>
            </w:r>
          </w:p>
        </w:tc>
      </w:tr>
      <w:tr w:rsidR="00D11CCB" w:rsidRPr="00F80E44" w14:paraId="39ED8510" w14:textId="77777777" w:rsidTr="0077433A">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09A4470D" w14:textId="0463A47F" w:rsidR="00D11CCB" w:rsidRPr="00467E32" w:rsidRDefault="00D11CCB" w:rsidP="000435A3">
            <w:pPr>
              <w:spacing w:after="0"/>
              <w:rPr>
                <w:rFonts w:cs="Arial"/>
                <w:lang w:bidi="en-US"/>
              </w:rPr>
            </w:pPr>
            <w:r w:rsidRPr="00467E32">
              <w:rPr>
                <w:rFonts w:cs="Arial"/>
                <w:lang w:bidi="en-US"/>
              </w:rPr>
              <w:t>V2.0</w:t>
            </w:r>
          </w:p>
        </w:tc>
        <w:tc>
          <w:tcPr>
            <w:tcW w:w="662" w:type="pct"/>
            <w:tcBorders>
              <w:top w:val="single" w:sz="4" w:space="0" w:color="auto"/>
              <w:left w:val="single" w:sz="4" w:space="0" w:color="auto"/>
              <w:bottom w:val="single" w:sz="4" w:space="0" w:color="auto"/>
              <w:right w:val="single" w:sz="4" w:space="0" w:color="auto"/>
            </w:tcBorders>
            <w:vAlign w:val="center"/>
          </w:tcPr>
          <w:p w14:paraId="7E4669A1" w14:textId="435F7A31" w:rsidR="00D11CCB" w:rsidRPr="00467E32" w:rsidRDefault="001D65E7" w:rsidP="000435A3">
            <w:pPr>
              <w:spacing w:after="0"/>
              <w:rPr>
                <w:rFonts w:cs="Arial"/>
                <w:lang w:bidi="en-US"/>
              </w:rPr>
            </w:pPr>
            <w:r>
              <w:rPr>
                <w:rFonts w:cs="Arial"/>
                <w:lang w:bidi="en-US"/>
              </w:rPr>
              <w:t>26</w:t>
            </w:r>
            <w:r w:rsidR="005719EF" w:rsidRPr="005719EF">
              <w:rPr>
                <w:rFonts w:cs="Arial"/>
                <w:vertAlign w:val="superscript"/>
                <w:lang w:bidi="en-US"/>
              </w:rPr>
              <w:t>th</w:t>
            </w:r>
            <w:r w:rsidR="005719EF">
              <w:rPr>
                <w:rFonts w:cs="Arial"/>
                <w:lang w:bidi="en-US"/>
              </w:rPr>
              <w:t xml:space="preserve"> July 2022</w:t>
            </w:r>
          </w:p>
        </w:tc>
        <w:tc>
          <w:tcPr>
            <w:tcW w:w="1215" w:type="pct"/>
            <w:tcBorders>
              <w:top w:val="single" w:sz="4" w:space="0" w:color="auto"/>
              <w:left w:val="single" w:sz="4" w:space="0" w:color="auto"/>
              <w:bottom w:val="single" w:sz="4" w:space="0" w:color="auto"/>
              <w:right w:val="single" w:sz="4" w:space="0" w:color="auto"/>
            </w:tcBorders>
            <w:vAlign w:val="center"/>
          </w:tcPr>
          <w:p w14:paraId="6E4F3042" w14:textId="5CF1CAB2" w:rsidR="00D11CCB" w:rsidRPr="00467E32" w:rsidRDefault="005719EF" w:rsidP="000435A3">
            <w:pPr>
              <w:spacing w:after="0"/>
              <w:rPr>
                <w:rFonts w:cs="Arial"/>
                <w:lang w:bidi="en-US"/>
              </w:rPr>
            </w:pPr>
            <w:r>
              <w:rPr>
                <w:rFonts w:cs="Arial"/>
                <w:lang w:bidi="en-US"/>
              </w:rPr>
              <w:t>Mike Duncan (Head of People)</w:t>
            </w:r>
          </w:p>
        </w:tc>
        <w:tc>
          <w:tcPr>
            <w:tcW w:w="2576" w:type="pct"/>
            <w:tcBorders>
              <w:top w:val="single" w:sz="4" w:space="0" w:color="auto"/>
              <w:left w:val="single" w:sz="4" w:space="0" w:color="auto"/>
              <w:bottom w:val="single" w:sz="4" w:space="0" w:color="auto"/>
              <w:right w:val="single" w:sz="4" w:space="0" w:color="auto"/>
            </w:tcBorders>
            <w:vAlign w:val="center"/>
          </w:tcPr>
          <w:p w14:paraId="6EFB4E08" w14:textId="7922264B" w:rsidR="00D11CCB" w:rsidRPr="00467E32" w:rsidRDefault="005719EF" w:rsidP="000435A3">
            <w:pPr>
              <w:spacing w:after="0"/>
              <w:rPr>
                <w:rFonts w:cs="Arial"/>
                <w:lang w:bidi="en-US"/>
              </w:rPr>
            </w:pPr>
            <w:r>
              <w:rPr>
                <w:rFonts w:cs="Arial"/>
                <w:lang w:bidi="en-US"/>
              </w:rPr>
              <w:t>Amended purpose</w:t>
            </w:r>
            <w:r w:rsidR="007A7732">
              <w:rPr>
                <w:rFonts w:cs="Arial"/>
                <w:lang w:bidi="en-US"/>
              </w:rPr>
              <w:t>, responsibilities, and membership</w:t>
            </w:r>
          </w:p>
        </w:tc>
      </w:tr>
      <w:tr w:rsidR="00426F5A" w:rsidRPr="00F80E44" w14:paraId="568106C4" w14:textId="77777777" w:rsidTr="0077433A">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6713B9D5" w14:textId="4FF744F8" w:rsidR="00426F5A" w:rsidRPr="00467E32" w:rsidRDefault="00484426" w:rsidP="000435A3">
            <w:pPr>
              <w:spacing w:after="0"/>
              <w:rPr>
                <w:rFonts w:cs="Arial"/>
                <w:lang w:bidi="en-US"/>
              </w:rPr>
            </w:pPr>
            <w:r w:rsidRPr="00467E32">
              <w:rPr>
                <w:rFonts w:cs="Arial"/>
                <w:lang w:bidi="en-US"/>
              </w:rPr>
              <w:t>V</w:t>
            </w:r>
            <w:r w:rsidR="00FF2E3B">
              <w:rPr>
                <w:rFonts w:cs="Arial"/>
                <w:lang w:bidi="en-US"/>
              </w:rPr>
              <w:t>2.1</w:t>
            </w:r>
          </w:p>
        </w:tc>
        <w:tc>
          <w:tcPr>
            <w:tcW w:w="662" w:type="pct"/>
            <w:tcBorders>
              <w:top w:val="single" w:sz="4" w:space="0" w:color="auto"/>
              <w:left w:val="single" w:sz="4" w:space="0" w:color="auto"/>
              <w:bottom w:val="single" w:sz="4" w:space="0" w:color="auto"/>
              <w:right w:val="single" w:sz="4" w:space="0" w:color="auto"/>
            </w:tcBorders>
            <w:vAlign w:val="center"/>
          </w:tcPr>
          <w:p w14:paraId="7ACD1ACF" w14:textId="08E372BD" w:rsidR="00426F5A" w:rsidRPr="00467E32" w:rsidRDefault="00FF2E3B" w:rsidP="000435A3">
            <w:pPr>
              <w:spacing w:after="0"/>
              <w:rPr>
                <w:rFonts w:cs="Arial"/>
                <w:lang w:bidi="en-US"/>
              </w:rPr>
            </w:pPr>
            <w:r>
              <w:rPr>
                <w:rFonts w:cs="Arial"/>
                <w:lang w:bidi="en-US"/>
              </w:rPr>
              <w:t>26/07/24</w:t>
            </w:r>
          </w:p>
        </w:tc>
        <w:tc>
          <w:tcPr>
            <w:tcW w:w="1215" w:type="pct"/>
            <w:tcBorders>
              <w:top w:val="single" w:sz="4" w:space="0" w:color="auto"/>
              <w:left w:val="single" w:sz="4" w:space="0" w:color="auto"/>
              <w:bottom w:val="single" w:sz="4" w:space="0" w:color="auto"/>
              <w:right w:val="single" w:sz="4" w:space="0" w:color="auto"/>
            </w:tcBorders>
            <w:vAlign w:val="center"/>
          </w:tcPr>
          <w:p w14:paraId="298A6FC3" w14:textId="14794975" w:rsidR="00426F5A" w:rsidRPr="00467E32" w:rsidRDefault="00FF2E3B" w:rsidP="000435A3">
            <w:pPr>
              <w:spacing w:after="0"/>
              <w:rPr>
                <w:rFonts w:cs="Arial"/>
                <w:lang w:bidi="en-US"/>
              </w:rPr>
            </w:pPr>
            <w:r w:rsidRPr="00FF2E3B">
              <w:rPr>
                <w:rFonts w:cs="Arial"/>
                <w:lang w:bidi="en-US"/>
              </w:rPr>
              <w:t>Mike Duncan (</w:t>
            </w:r>
            <w:r>
              <w:rPr>
                <w:rFonts w:cs="Arial"/>
                <w:lang w:bidi="en-US"/>
              </w:rPr>
              <w:t>Director of</w:t>
            </w:r>
            <w:r w:rsidRPr="00FF2E3B">
              <w:rPr>
                <w:rFonts w:cs="Arial"/>
                <w:lang w:bidi="en-US"/>
              </w:rPr>
              <w:t xml:space="preserve"> People)</w:t>
            </w:r>
          </w:p>
        </w:tc>
        <w:tc>
          <w:tcPr>
            <w:tcW w:w="2576" w:type="pct"/>
            <w:tcBorders>
              <w:top w:val="single" w:sz="4" w:space="0" w:color="auto"/>
              <w:left w:val="single" w:sz="4" w:space="0" w:color="auto"/>
              <w:bottom w:val="single" w:sz="4" w:space="0" w:color="auto"/>
              <w:right w:val="single" w:sz="4" w:space="0" w:color="auto"/>
            </w:tcBorders>
            <w:vAlign w:val="center"/>
          </w:tcPr>
          <w:p w14:paraId="3EEE495B" w14:textId="53C32F9A" w:rsidR="00426F5A" w:rsidRPr="00467E32" w:rsidRDefault="00FF2E3B" w:rsidP="000435A3">
            <w:pPr>
              <w:spacing w:after="0"/>
              <w:rPr>
                <w:rFonts w:cs="Arial"/>
                <w:lang w:bidi="en-US"/>
              </w:rPr>
            </w:pPr>
            <w:r>
              <w:rPr>
                <w:rFonts w:cs="Arial"/>
                <w:lang w:bidi="en-US"/>
              </w:rPr>
              <w:t>Added details to Culture Responsibility around areas to monitor and provide assurance on. Also added same areas to Agenda Template</w:t>
            </w:r>
          </w:p>
        </w:tc>
      </w:tr>
      <w:tr w:rsidR="00F96334" w:rsidRPr="00F80E44" w14:paraId="73B086BC" w14:textId="77777777" w:rsidTr="0077433A">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421C9ED5" w14:textId="633FF6A0" w:rsidR="00F96334" w:rsidRPr="00467E32" w:rsidRDefault="00F96334" w:rsidP="000435A3">
            <w:pPr>
              <w:spacing w:after="0"/>
              <w:rPr>
                <w:rFonts w:cs="Arial"/>
                <w:lang w:bidi="en-US"/>
              </w:rPr>
            </w:pPr>
            <w:r>
              <w:rPr>
                <w:rFonts w:cs="Arial"/>
                <w:lang w:bidi="en-US"/>
              </w:rPr>
              <w:t>V3.0</w:t>
            </w:r>
          </w:p>
        </w:tc>
        <w:tc>
          <w:tcPr>
            <w:tcW w:w="662" w:type="pct"/>
            <w:tcBorders>
              <w:top w:val="single" w:sz="4" w:space="0" w:color="auto"/>
              <w:left w:val="single" w:sz="4" w:space="0" w:color="auto"/>
              <w:bottom w:val="single" w:sz="4" w:space="0" w:color="auto"/>
              <w:right w:val="single" w:sz="4" w:space="0" w:color="auto"/>
            </w:tcBorders>
            <w:vAlign w:val="center"/>
          </w:tcPr>
          <w:p w14:paraId="5F062C57" w14:textId="1034A031" w:rsidR="00F96334" w:rsidRDefault="00F96334" w:rsidP="000435A3">
            <w:pPr>
              <w:spacing w:after="0"/>
              <w:rPr>
                <w:rFonts w:cs="Arial"/>
                <w:lang w:bidi="en-US"/>
              </w:rPr>
            </w:pPr>
            <w:r>
              <w:rPr>
                <w:rFonts w:cs="Arial"/>
                <w:lang w:bidi="en-US"/>
              </w:rPr>
              <w:t>October 2025</w:t>
            </w:r>
          </w:p>
        </w:tc>
        <w:tc>
          <w:tcPr>
            <w:tcW w:w="1215" w:type="pct"/>
            <w:tcBorders>
              <w:top w:val="single" w:sz="4" w:space="0" w:color="auto"/>
              <w:left w:val="single" w:sz="4" w:space="0" w:color="auto"/>
              <w:bottom w:val="single" w:sz="4" w:space="0" w:color="auto"/>
              <w:right w:val="single" w:sz="4" w:space="0" w:color="auto"/>
            </w:tcBorders>
            <w:vAlign w:val="center"/>
          </w:tcPr>
          <w:p w14:paraId="0ADFF314" w14:textId="0E1D9B5D" w:rsidR="00F96334" w:rsidRPr="00FF2E3B" w:rsidRDefault="0077433A" w:rsidP="000435A3">
            <w:pPr>
              <w:spacing w:after="0"/>
              <w:rPr>
                <w:rFonts w:cs="Arial"/>
                <w:lang w:bidi="en-US"/>
              </w:rPr>
            </w:pPr>
            <w:r>
              <w:rPr>
                <w:rFonts w:cs="Arial"/>
                <w:lang w:bidi="en-US"/>
              </w:rPr>
              <w:t>Sandra Meadows</w:t>
            </w:r>
            <w:r>
              <w:rPr>
                <w:rFonts w:cs="Arial"/>
                <w:lang w:bidi="en-US"/>
              </w:rPr>
              <w:br/>
              <w:t>(Non-Executive Director)</w:t>
            </w:r>
          </w:p>
        </w:tc>
        <w:tc>
          <w:tcPr>
            <w:tcW w:w="2576" w:type="pct"/>
            <w:tcBorders>
              <w:top w:val="single" w:sz="4" w:space="0" w:color="auto"/>
              <w:left w:val="single" w:sz="4" w:space="0" w:color="auto"/>
              <w:bottom w:val="single" w:sz="4" w:space="0" w:color="auto"/>
              <w:right w:val="single" w:sz="4" w:space="0" w:color="auto"/>
            </w:tcBorders>
            <w:vAlign w:val="center"/>
          </w:tcPr>
          <w:p w14:paraId="4C7D0834" w14:textId="283A575F" w:rsidR="00F96334" w:rsidRDefault="00F96334" w:rsidP="000435A3">
            <w:pPr>
              <w:spacing w:after="0"/>
              <w:rPr>
                <w:rFonts w:cs="Arial"/>
                <w:lang w:bidi="en-US"/>
              </w:rPr>
            </w:pPr>
            <w:r>
              <w:rPr>
                <w:rFonts w:cs="Arial"/>
                <w:lang w:bidi="en-US"/>
              </w:rPr>
              <w:t>Changed to reflect alignment with new Combined Board and Committee’s role in providing assurance and oversight to that Board.</w:t>
            </w:r>
          </w:p>
        </w:tc>
      </w:tr>
      <w:tr w:rsidR="005D75B4" w:rsidRPr="00F80E44" w14:paraId="19E7DC80" w14:textId="77777777" w:rsidTr="0077433A">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0E70D035" w14:textId="67EBDC94" w:rsidR="005D75B4" w:rsidRDefault="005D75B4" w:rsidP="000435A3">
            <w:pPr>
              <w:spacing w:after="0"/>
              <w:rPr>
                <w:rFonts w:cs="Arial"/>
                <w:lang w:bidi="en-US"/>
              </w:rPr>
            </w:pPr>
            <w:r>
              <w:rPr>
                <w:rFonts w:cs="Arial"/>
                <w:lang w:bidi="en-US"/>
              </w:rPr>
              <w:t>V4.0</w:t>
            </w:r>
          </w:p>
        </w:tc>
        <w:tc>
          <w:tcPr>
            <w:tcW w:w="662" w:type="pct"/>
            <w:tcBorders>
              <w:top w:val="single" w:sz="4" w:space="0" w:color="auto"/>
              <w:left w:val="single" w:sz="4" w:space="0" w:color="auto"/>
              <w:bottom w:val="single" w:sz="4" w:space="0" w:color="auto"/>
              <w:right w:val="single" w:sz="4" w:space="0" w:color="auto"/>
            </w:tcBorders>
            <w:vAlign w:val="center"/>
          </w:tcPr>
          <w:p w14:paraId="18F049E6" w14:textId="3E1BF7DF" w:rsidR="005D75B4" w:rsidRDefault="005D75B4" w:rsidP="000435A3">
            <w:pPr>
              <w:spacing w:after="0"/>
              <w:rPr>
                <w:rFonts w:cs="Arial"/>
                <w:lang w:bidi="en-US"/>
              </w:rPr>
            </w:pPr>
            <w:r>
              <w:rPr>
                <w:rFonts w:cs="Arial"/>
                <w:lang w:bidi="en-US"/>
              </w:rPr>
              <w:t>November 2025</w:t>
            </w:r>
          </w:p>
        </w:tc>
        <w:tc>
          <w:tcPr>
            <w:tcW w:w="1215" w:type="pct"/>
            <w:tcBorders>
              <w:top w:val="single" w:sz="4" w:space="0" w:color="auto"/>
              <w:left w:val="single" w:sz="4" w:space="0" w:color="auto"/>
              <w:bottom w:val="single" w:sz="4" w:space="0" w:color="auto"/>
              <w:right w:val="single" w:sz="4" w:space="0" w:color="auto"/>
            </w:tcBorders>
            <w:vAlign w:val="center"/>
          </w:tcPr>
          <w:p w14:paraId="554FC712" w14:textId="6C8D9F65" w:rsidR="005D75B4" w:rsidRDefault="005D75B4" w:rsidP="000435A3">
            <w:pPr>
              <w:spacing w:after="0"/>
              <w:rPr>
                <w:rFonts w:cs="Arial"/>
                <w:lang w:bidi="en-US"/>
              </w:rPr>
            </w:pPr>
            <w:r>
              <w:rPr>
                <w:rFonts w:cs="Arial"/>
                <w:lang w:bidi="en-US"/>
              </w:rPr>
              <w:t>Jonathan Pearce (CEO)</w:t>
            </w:r>
          </w:p>
        </w:tc>
        <w:tc>
          <w:tcPr>
            <w:tcW w:w="2576" w:type="pct"/>
            <w:tcBorders>
              <w:top w:val="single" w:sz="4" w:space="0" w:color="auto"/>
              <w:left w:val="single" w:sz="4" w:space="0" w:color="auto"/>
              <w:bottom w:val="single" w:sz="4" w:space="0" w:color="auto"/>
              <w:right w:val="single" w:sz="4" w:space="0" w:color="auto"/>
            </w:tcBorders>
            <w:vAlign w:val="center"/>
          </w:tcPr>
          <w:p w14:paraId="7094DCCF" w14:textId="352264E7" w:rsidR="005D75B4" w:rsidRDefault="005D75B4" w:rsidP="000435A3">
            <w:pPr>
              <w:spacing w:after="0"/>
              <w:rPr>
                <w:rFonts w:cs="Arial"/>
                <w:lang w:bidi="en-US"/>
              </w:rPr>
            </w:pPr>
            <w:r>
              <w:rPr>
                <w:rFonts w:cs="Arial"/>
                <w:lang w:bidi="en-US"/>
              </w:rPr>
              <w:t>Changes to align with three core Board Committees</w:t>
            </w:r>
          </w:p>
        </w:tc>
      </w:tr>
      <w:tr w:rsidR="000569FB" w:rsidRPr="00F80E44" w14:paraId="07E009C3" w14:textId="77777777" w:rsidTr="0077433A">
        <w:trPr>
          <w:trHeight w:val="567"/>
        </w:trPr>
        <w:tc>
          <w:tcPr>
            <w:tcW w:w="547" w:type="pct"/>
            <w:tcBorders>
              <w:top w:val="single" w:sz="4" w:space="0" w:color="auto"/>
              <w:left w:val="single" w:sz="4" w:space="0" w:color="auto"/>
              <w:bottom w:val="single" w:sz="4" w:space="0" w:color="auto"/>
              <w:right w:val="single" w:sz="4" w:space="0" w:color="auto"/>
            </w:tcBorders>
            <w:vAlign w:val="center"/>
          </w:tcPr>
          <w:p w14:paraId="1FCCD160" w14:textId="219874B5" w:rsidR="000569FB" w:rsidRDefault="000569FB" w:rsidP="000435A3">
            <w:pPr>
              <w:spacing w:after="0"/>
              <w:rPr>
                <w:rFonts w:cs="Arial"/>
                <w:lang w:bidi="en-US"/>
              </w:rPr>
            </w:pPr>
            <w:r>
              <w:rPr>
                <w:rFonts w:cs="Arial"/>
                <w:lang w:bidi="en-US"/>
              </w:rPr>
              <w:t>V4.1</w:t>
            </w:r>
          </w:p>
        </w:tc>
        <w:tc>
          <w:tcPr>
            <w:tcW w:w="662" w:type="pct"/>
            <w:tcBorders>
              <w:top w:val="single" w:sz="4" w:space="0" w:color="auto"/>
              <w:left w:val="single" w:sz="4" w:space="0" w:color="auto"/>
              <w:bottom w:val="single" w:sz="4" w:space="0" w:color="auto"/>
              <w:right w:val="single" w:sz="4" w:space="0" w:color="auto"/>
            </w:tcBorders>
            <w:vAlign w:val="center"/>
          </w:tcPr>
          <w:p w14:paraId="0F890E38" w14:textId="2BC93F5C" w:rsidR="000569FB" w:rsidRDefault="000569FB" w:rsidP="000435A3">
            <w:pPr>
              <w:spacing w:after="0"/>
              <w:rPr>
                <w:rFonts w:cs="Arial"/>
                <w:lang w:bidi="en-US"/>
              </w:rPr>
            </w:pPr>
            <w:r>
              <w:rPr>
                <w:rFonts w:cs="Arial"/>
                <w:lang w:bidi="en-US"/>
              </w:rPr>
              <w:t>January 2026</w:t>
            </w:r>
          </w:p>
        </w:tc>
        <w:tc>
          <w:tcPr>
            <w:tcW w:w="1215" w:type="pct"/>
            <w:tcBorders>
              <w:top w:val="single" w:sz="4" w:space="0" w:color="auto"/>
              <w:left w:val="single" w:sz="4" w:space="0" w:color="auto"/>
              <w:bottom w:val="single" w:sz="4" w:space="0" w:color="auto"/>
              <w:right w:val="single" w:sz="4" w:space="0" w:color="auto"/>
            </w:tcBorders>
            <w:vAlign w:val="center"/>
          </w:tcPr>
          <w:p w14:paraId="17F3329E" w14:textId="3D2ADC80" w:rsidR="000569FB" w:rsidRDefault="000569FB" w:rsidP="000435A3">
            <w:pPr>
              <w:spacing w:after="0"/>
              <w:rPr>
                <w:rFonts w:cs="Arial"/>
                <w:lang w:bidi="en-US"/>
              </w:rPr>
            </w:pPr>
            <w:r>
              <w:rPr>
                <w:rFonts w:cs="Arial"/>
                <w:lang w:bidi="en-US"/>
              </w:rPr>
              <w:t>Sandra Meadows (Non-Executive Director)</w:t>
            </w:r>
          </w:p>
        </w:tc>
        <w:tc>
          <w:tcPr>
            <w:tcW w:w="2576" w:type="pct"/>
            <w:tcBorders>
              <w:top w:val="single" w:sz="4" w:space="0" w:color="auto"/>
              <w:left w:val="single" w:sz="4" w:space="0" w:color="auto"/>
              <w:bottom w:val="single" w:sz="4" w:space="0" w:color="auto"/>
              <w:right w:val="single" w:sz="4" w:space="0" w:color="auto"/>
            </w:tcBorders>
            <w:vAlign w:val="center"/>
          </w:tcPr>
          <w:p w14:paraId="67E99AAF" w14:textId="6BB336AE" w:rsidR="000569FB" w:rsidRDefault="00810ABA" w:rsidP="000435A3">
            <w:pPr>
              <w:spacing w:after="0"/>
              <w:rPr>
                <w:rFonts w:cs="Arial"/>
                <w:lang w:bidi="en-US"/>
              </w:rPr>
            </w:pPr>
            <w:r>
              <w:rPr>
                <w:rFonts w:cs="Arial"/>
                <w:lang w:bidi="en-US"/>
              </w:rPr>
              <w:t>Updates</w:t>
            </w:r>
            <w:r w:rsidR="000569FB">
              <w:rPr>
                <w:rFonts w:cs="Arial"/>
                <w:lang w:bidi="en-US"/>
              </w:rPr>
              <w:t xml:space="preserve"> following </w:t>
            </w:r>
            <w:r>
              <w:rPr>
                <w:rFonts w:cs="Arial"/>
                <w:lang w:bidi="en-US"/>
              </w:rPr>
              <w:t xml:space="preserve">the </w:t>
            </w:r>
            <w:r w:rsidR="000569FB">
              <w:rPr>
                <w:rFonts w:cs="Arial"/>
                <w:lang w:bidi="en-US"/>
              </w:rPr>
              <w:t xml:space="preserve">Combined Board meeting </w:t>
            </w:r>
            <w:r>
              <w:rPr>
                <w:rFonts w:cs="Arial"/>
                <w:lang w:bidi="en-US"/>
              </w:rPr>
              <w:t>held on 16.01.25 were</w:t>
            </w:r>
            <w:r w:rsidR="000569FB">
              <w:rPr>
                <w:rFonts w:cs="Arial"/>
                <w:lang w:bidi="en-US"/>
              </w:rPr>
              <w:t xml:space="preserve"> incorporated </w:t>
            </w:r>
          </w:p>
        </w:tc>
      </w:tr>
    </w:tbl>
    <w:p w14:paraId="4B82BE43" w14:textId="77777777" w:rsidR="00477729" w:rsidRDefault="00477729" w:rsidP="00477729"/>
    <w:p w14:paraId="35F72816" w14:textId="3DDC7DDB" w:rsidR="006768D4" w:rsidRDefault="006768D4" w:rsidP="006768D4">
      <w:pPr>
        <w:pStyle w:val="Heading2"/>
      </w:pPr>
      <w:bookmarkStart w:id="16" w:name="_Toc211602330"/>
      <w:r>
        <w:t>Appendix D</w:t>
      </w:r>
      <w:r w:rsidR="001D1217">
        <w:t>:</w:t>
      </w:r>
      <w:r>
        <w:t xml:space="preserve"> Equality Impact Assessment (EQIA) Summary</w:t>
      </w:r>
      <w:bookmarkEnd w:id="16"/>
    </w:p>
    <w:p w14:paraId="784A2FBB" w14:textId="07353572" w:rsidR="006768D4" w:rsidRDefault="006768D4" w:rsidP="006768D4">
      <w:pPr>
        <w:pStyle w:val="Heading3"/>
      </w:pPr>
      <w:r>
        <w:t>Purpose of assessment</w:t>
      </w:r>
    </w:p>
    <w:p w14:paraId="588FBCDF" w14:textId="65724279" w:rsidR="006768D4" w:rsidRDefault="006768D4" w:rsidP="006768D4">
      <w:r>
        <w:t>To assess whether the establishment and operation of the People Committee, and the content of its Terms of Reference, could have any adverse impact on individuals or groups with protected characteristics under the Equality Act 2010, and to ensure the Committee’s governance arrangements promote equity, diversity, and inclusion.</w:t>
      </w:r>
    </w:p>
    <w:p w14:paraId="449DE2A7" w14:textId="1F501176" w:rsidR="006768D4" w:rsidRDefault="006768D4" w:rsidP="006768D4">
      <w:pPr>
        <w:pStyle w:val="Heading3"/>
      </w:pPr>
      <w:r>
        <w:t>Scope of assessment</w:t>
      </w:r>
    </w:p>
    <w:p w14:paraId="22161FE1" w14:textId="77777777" w:rsidR="006768D4" w:rsidRDefault="006768D4" w:rsidP="006768D4">
      <w:r>
        <w:t>This assessment covers:</w:t>
      </w:r>
    </w:p>
    <w:p w14:paraId="1A48AC4F" w14:textId="77777777" w:rsidR="006768D4" w:rsidRDefault="006768D4" w:rsidP="005D75B4">
      <w:pPr>
        <w:pStyle w:val="ListParagraph"/>
        <w:numPr>
          <w:ilvl w:val="0"/>
          <w:numId w:val="7"/>
        </w:numPr>
      </w:pPr>
      <w:r>
        <w:t>Membership composition and representation.</w:t>
      </w:r>
    </w:p>
    <w:p w14:paraId="3523026B" w14:textId="77777777" w:rsidR="006768D4" w:rsidRDefault="006768D4" w:rsidP="005D75B4">
      <w:pPr>
        <w:pStyle w:val="ListParagraph"/>
        <w:numPr>
          <w:ilvl w:val="0"/>
          <w:numId w:val="7"/>
        </w:numPr>
      </w:pPr>
      <w:r>
        <w:t>Access to participation or influence (e.g. inclusion of Co-Owner Council representatives and Employee Director).</w:t>
      </w:r>
    </w:p>
    <w:p w14:paraId="4B17DB96" w14:textId="1D6598B8" w:rsidR="006768D4" w:rsidRDefault="006768D4" w:rsidP="005D75B4">
      <w:pPr>
        <w:pStyle w:val="ListParagraph"/>
        <w:numPr>
          <w:ilvl w:val="0"/>
          <w:numId w:val="7"/>
        </w:numPr>
      </w:pPr>
      <w:r>
        <w:t xml:space="preserve">Oversight of </w:t>
      </w:r>
      <w:r w:rsidR="00B44007" w:rsidRPr="008E7B23">
        <w:t>equity</w:t>
      </w:r>
      <w:r w:rsidRPr="008E7B23">
        <w:t>,</w:t>
      </w:r>
      <w:r>
        <w:t xml:space="preserve"> diversity &amp; inclusion (EDI) within the Committee’s responsibilities.</w:t>
      </w:r>
    </w:p>
    <w:p w14:paraId="2B66D5D9" w14:textId="77777777" w:rsidR="006768D4" w:rsidRDefault="006768D4" w:rsidP="005D75B4">
      <w:pPr>
        <w:pStyle w:val="ListParagraph"/>
        <w:numPr>
          <w:ilvl w:val="0"/>
          <w:numId w:val="7"/>
        </w:numPr>
      </w:pPr>
      <w:r>
        <w:t>Clarity of data and assurance arrangements for protected characteristic monitoring.</w:t>
      </w:r>
    </w:p>
    <w:p w14:paraId="1DD69AB7" w14:textId="6B6D1244" w:rsidR="006768D4" w:rsidRDefault="006768D4" w:rsidP="006768D4">
      <w:r>
        <w:br/>
        <w:t>The assessment recognises that this document governs assurance processes, not direct employment or service provision decisions.</w:t>
      </w:r>
    </w:p>
    <w:p w14:paraId="31B4E87C" w14:textId="5DBA9470" w:rsidR="006768D4" w:rsidRDefault="006768D4" w:rsidP="006768D4">
      <w:pPr>
        <w:pStyle w:val="Heading3"/>
      </w:pPr>
      <w:r>
        <w:t>Findings</w:t>
      </w:r>
    </w:p>
    <w:p w14:paraId="4E6DF211" w14:textId="5262B3A3" w:rsidR="006768D4" w:rsidRDefault="006768D4" w:rsidP="006768D4">
      <w:r>
        <w:t>The ToR explicitly embeds EDI oversight within the Committee’s remit, requiring regular review of diversity data, pay gap reporting, and equality compliance.</w:t>
      </w:r>
    </w:p>
    <w:p w14:paraId="08532948" w14:textId="77777777" w:rsidR="006768D4" w:rsidRDefault="006768D4" w:rsidP="006768D4">
      <w:r>
        <w:t>Committee membership includes both employee and Co-Owner representation, supporting inclusive governance.</w:t>
      </w:r>
    </w:p>
    <w:p w14:paraId="75BD27A8" w14:textId="77777777" w:rsidR="006768D4" w:rsidRDefault="006768D4" w:rsidP="006768D4">
      <w:r>
        <w:lastRenderedPageBreak/>
        <w:t>No elements of the ToR were identified that would adversely affect individuals on the basis of protected characteristics.</w:t>
      </w:r>
    </w:p>
    <w:p w14:paraId="74A75708" w14:textId="77777777" w:rsidR="006768D4" w:rsidRDefault="006768D4" w:rsidP="006768D4"/>
    <w:p w14:paraId="52C2C99D" w14:textId="77777777" w:rsidR="006768D4" w:rsidRDefault="006768D4" w:rsidP="006768D4">
      <w:r>
        <w:t>The ToR encourage the collection and use of segmented workforce data (by service, role, and demographics) to support fair and transparent decision-making.</w:t>
      </w:r>
    </w:p>
    <w:p w14:paraId="1D591B4B" w14:textId="59DD6BD8" w:rsidR="006768D4" w:rsidRDefault="006768D4" w:rsidP="006768D4">
      <w:pPr>
        <w:pStyle w:val="Heading3"/>
      </w:pPr>
      <w:r>
        <w:t>Conclusion</w:t>
      </w:r>
    </w:p>
    <w:p w14:paraId="7965AD9E" w14:textId="77777777" w:rsidR="006768D4" w:rsidRDefault="006768D4" w:rsidP="006768D4">
      <w:r>
        <w:t>No adverse equality impacts have been identified.</w:t>
      </w:r>
    </w:p>
    <w:p w14:paraId="6D3E019A" w14:textId="5DA08FB4" w:rsidR="006768D4" w:rsidRDefault="006768D4" w:rsidP="006768D4">
      <w:pPr>
        <w:rPr>
          <w:b/>
          <w:bCs/>
        </w:rPr>
      </w:pPr>
      <w:r>
        <w:t xml:space="preserve">The Committee’s remit and operating arrangements actively promote </w:t>
      </w:r>
      <w:r w:rsidRPr="008E7B23">
        <w:t xml:space="preserve">fairness, </w:t>
      </w:r>
      <w:r w:rsidR="00B44007" w:rsidRPr="008E7B23">
        <w:t>equity</w:t>
      </w:r>
      <w:r w:rsidRPr="008E7B23">
        <w:t>,</w:t>
      </w:r>
      <w:r>
        <w:t xml:space="preserve"> and inclusion within BrisDoc’s workforce governance framework.</w:t>
      </w:r>
    </w:p>
    <w:p w14:paraId="547DBEFE" w14:textId="0293700B" w:rsidR="006768D4" w:rsidRPr="006768D4" w:rsidRDefault="006768D4" w:rsidP="006768D4">
      <w:pPr>
        <w:jc w:val="center"/>
        <w:rPr>
          <w:b/>
          <w:bCs/>
        </w:rPr>
      </w:pPr>
      <w:r w:rsidRPr="006768D4">
        <w:rPr>
          <w:b/>
          <w:bCs/>
        </w:rPr>
        <w:t>Overall EQIA outcome: No negative or disproportionate impact identified.</w:t>
      </w:r>
    </w:p>
    <w:p w14:paraId="2EF0D258" w14:textId="13AA860C" w:rsidR="006768D4" w:rsidRDefault="006768D4" w:rsidP="006768D4">
      <w:pPr>
        <w:pStyle w:val="Heading3"/>
      </w:pPr>
      <w:r>
        <w:t>Actions / Recommendations</w:t>
      </w:r>
    </w:p>
    <w:p w14:paraId="21F6E1D3" w14:textId="77777777" w:rsidR="006768D4" w:rsidRDefault="006768D4" w:rsidP="006768D4">
      <w:r>
        <w:t>Ensure EDI data and analysis remain standing components of Committee reporting (as set out in Appendix A).</w:t>
      </w:r>
    </w:p>
    <w:p w14:paraId="7FFEFDBE" w14:textId="77777777" w:rsidR="006768D4" w:rsidRDefault="006768D4" w:rsidP="006768D4">
      <w:r>
        <w:t>Review equality considerations as part of the annual ToR and effectiveness review.</w:t>
      </w:r>
    </w:p>
    <w:p w14:paraId="03FDEAD5" w14:textId="77777777" w:rsidR="006768D4" w:rsidRDefault="006768D4" w:rsidP="006768D4">
      <w:pPr>
        <w:rPr>
          <w:rStyle w:val="Heading3Char"/>
        </w:rPr>
      </w:pPr>
      <w:r w:rsidRPr="006768D4">
        <w:rPr>
          <w:rStyle w:val="Heading3Char"/>
        </w:rPr>
        <w:t>Next review</w:t>
      </w:r>
    </w:p>
    <w:p w14:paraId="1137CFCB" w14:textId="322D03F7" w:rsidR="006768D4" w:rsidRPr="00426F5A" w:rsidRDefault="006768D4" w:rsidP="006768D4">
      <w:r>
        <w:t>To align with the annual ToR review (October 2026).</w:t>
      </w:r>
    </w:p>
    <w:p w14:paraId="1E23E227" w14:textId="77777777" w:rsidR="006768D4" w:rsidRPr="00426F5A" w:rsidRDefault="006768D4"/>
    <w:sectPr w:rsidR="006768D4" w:rsidRPr="00426F5A" w:rsidSect="00F96334">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15424" w14:textId="77777777" w:rsidR="00984924" w:rsidRDefault="00984924" w:rsidP="003F037B">
      <w:pPr>
        <w:spacing w:after="0" w:line="240" w:lineRule="auto"/>
      </w:pPr>
      <w:r>
        <w:separator/>
      </w:r>
    </w:p>
  </w:endnote>
  <w:endnote w:type="continuationSeparator" w:id="0">
    <w:p w14:paraId="4213C982" w14:textId="77777777" w:rsidR="00984924" w:rsidRDefault="00984924"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5B8FE16D-CBBA-4D1F-B065-4BCE3272B9EA}"/>
    <w:embedBold r:id="rId2" w:fontKey="{5C845D05-B563-4482-977A-D17B3FBAC04F}"/>
  </w:font>
  <w:font w:name="Times New Roman">
    <w:panose1 w:val="02020603050405020304"/>
    <w:charset w:val="00"/>
    <w:family w:val="roman"/>
    <w:pitch w:val="variable"/>
    <w:sig w:usb0="E0002EFF" w:usb1="C000785B" w:usb2="00000009" w:usb3="00000000" w:csb0="000001FF" w:csb1="00000000"/>
    <w:embedRegular r:id="rId3" w:fontKey="{A4922E22-DC05-42AA-898B-7452BA8BDF4C}"/>
    <w:embedBold r:id="rId4" w:fontKey="{50385AEB-F5AA-4552-B140-243AAE3951A5}"/>
    <w:embedItalic r:id="rId5" w:fontKey="{573C9201-D9AC-4BFA-A87B-9B686E3EED07}"/>
  </w:font>
  <w:font w:name="Arial">
    <w:panose1 w:val="020B0604020202020204"/>
    <w:charset w:val="00"/>
    <w:family w:val="swiss"/>
    <w:pitch w:val="variable"/>
    <w:sig w:usb0="E0002EFF" w:usb1="C000785B" w:usb2="00000009" w:usb3="00000000" w:csb0="000001FF" w:csb1="00000000"/>
    <w:embedRegular r:id="rId6" w:fontKey="{BB01D0B3-7CEB-4466-8FEF-12785E15DC0A}"/>
    <w:embedBold r:id="rId7" w:fontKey="{DB83072E-CA6F-4C3E-9429-EBE926B6B0E4}"/>
    <w:embedItalic r:id="rId8" w:fontKey="{EA81C61C-E81B-460C-92E8-2BD210128EBD}"/>
    <w:embedBoldItalic r:id="rId9" w:fontKey="{3D27EBD2-7A04-499A-B1F8-1F3ADDB87E5A}"/>
  </w:font>
  <w:font w:name="Courier New">
    <w:panose1 w:val="02070309020205020404"/>
    <w:charset w:val="00"/>
    <w:family w:val="modern"/>
    <w:pitch w:val="fixed"/>
    <w:sig w:usb0="E0002EFF" w:usb1="C0007843" w:usb2="00000009" w:usb3="00000000" w:csb0="000001FF" w:csb1="00000000"/>
    <w:embedRegular r:id="rId10" w:fontKey="{F8288F48-C9AA-49E8-BEC1-492E2EBAEFAD}"/>
  </w:font>
  <w:font w:name="Wingdings">
    <w:panose1 w:val="05000000000000000000"/>
    <w:charset w:val="02"/>
    <w:family w:val="auto"/>
    <w:pitch w:val="variable"/>
    <w:sig w:usb0="00000000" w:usb1="10000000" w:usb2="00000000" w:usb3="00000000" w:csb0="80000000" w:csb1="00000000"/>
    <w:embedRegular r:id="rId11" w:fontKey="{4BBC8E6A-7EAC-4014-AD5D-0E9C08BCB98A}"/>
  </w:font>
  <w:font w:name="Bree Serif">
    <w:altName w:val="Calibri"/>
    <w:panose1 w:val="02000503040000020004"/>
    <w:charset w:val="00"/>
    <w:family w:val="auto"/>
    <w:pitch w:val="variable"/>
    <w:sig w:usb0="A00000AF" w:usb1="4000204B" w:usb2="00000000" w:usb3="00000000" w:csb0="00000093" w:csb1="00000000"/>
    <w:embedRegular r:id="rId12" w:fontKey="{444F8C1D-B813-465C-807A-36139124A530}"/>
    <w:embedBold r:id="rId13" w:fontKey="{1A5A1FAB-8B1A-4F34-B2A3-4868B2EDF330}"/>
  </w:font>
  <w:font w:name="Segoe UI">
    <w:panose1 w:val="020B0502040204020203"/>
    <w:charset w:val="00"/>
    <w:family w:val="swiss"/>
    <w:pitch w:val="variable"/>
    <w:sig w:usb0="E4002EFF" w:usb1="C000E47F" w:usb2="00000009" w:usb3="00000000" w:csb0="000001FF" w:csb1="00000000"/>
    <w:embedRegular r:id="rId14" w:fontKey="{A06A0C01-5218-47B2-8748-CACA802A989E}"/>
  </w:font>
  <w:font w:name="Aptos">
    <w:charset w:val="00"/>
    <w:family w:val="swiss"/>
    <w:pitch w:val="variable"/>
    <w:sig w:usb0="20000287" w:usb1="00000003" w:usb2="00000000" w:usb3="00000000" w:csb0="0000019F" w:csb1="00000000"/>
    <w:embedRegular r:id="rId15" w:fontKey="{12575B82-9685-4B6B-A749-9DF1368F3BF6}"/>
  </w:font>
  <w:font w:name="Calibri">
    <w:panose1 w:val="020F0502020204030204"/>
    <w:charset w:val="00"/>
    <w:family w:val="swiss"/>
    <w:pitch w:val="variable"/>
    <w:sig w:usb0="E4002EFF" w:usb1="C200247B" w:usb2="00000009" w:usb3="00000000" w:csb0="000001FF" w:csb1="00000000"/>
    <w:embedRegular r:id="rId16" w:fontKey="{DB10C8E7-A40E-4F6B-BE22-22CFAA093269}"/>
    <w:embedBold r:id="rId17" w:fontKey="{8F4B0F86-5D7E-4B46-9FE4-DD172CC8C8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3190682"/>
      <w:docPartObj>
        <w:docPartGallery w:val="Page Numbers (Bottom of Page)"/>
        <w:docPartUnique/>
      </w:docPartObj>
    </w:sdtPr>
    <w:sdtEndPr>
      <w:rPr>
        <w:noProof/>
      </w:rPr>
    </w:sdtEndPr>
    <w:sdtContent>
      <w:p w14:paraId="7051DA2E" w14:textId="094CFE14" w:rsidR="004449A2" w:rsidRDefault="003F11A1" w:rsidP="003F11A1">
        <w:pPr>
          <w:pStyle w:val="Footer"/>
          <w:ind w:left="-567"/>
          <w:jc w:val="right"/>
        </w:pPr>
        <w:r w:rsidRPr="003F11A1">
          <w:rPr>
            <w:sz w:val="18"/>
            <w:szCs w:val="18"/>
          </w:rPr>
          <w:t xml:space="preserve">S:\GOVERNANCE TEAM\CONFIDENTIAL - Governance Meetings\People </w:t>
        </w:r>
        <w:r>
          <w:rPr>
            <w:sz w:val="18"/>
            <w:szCs w:val="18"/>
          </w:rPr>
          <w:t>Committee</w:t>
        </w:r>
        <w:r w:rsidR="00EE1CEC">
          <w:rPr>
            <w:sz w:val="18"/>
            <w:szCs w:val="18"/>
          </w:rPr>
          <w:t xml:space="preserve"> V2</w:t>
        </w:r>
        <w:r>
          <w:tab/>
        </w:r>
        <w:r w:rsidR="004449A2">
          <w:fldChar w:fldCharType="begin"/>
        </w:r>
        <w:r w:rsidR="004449A2">
          <w:instrText xml:space="preserve"> PAGE   \* MERGEFORMAT </w:instrText>
        </w:r>
        <w:r w:rsidR="004449A2">
          <w:fldChar w:fldCharType="separate"/>
        </w:r>
        <w:r w:rsidR="004449A2">
          <w:rPr>
            <w:noProof/>
          </w:rPr>
          <w:t>2</w:t>
        </w:r>
        <w:r w:rsidR="004449A2">
          <w:rPr>
            <w:noProof/>
          </w:rPr>
          <w:fldChar w:fldCharType="end"/>
        </w:r>
      </w:p>
    </w:sdtContent>
  </w:sdt>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E2B89" w14:textId="77777777" w:rsidR="00984924" w:rsidRDefault="00984924" w:rsidP="003F037B">
      <w:pPr>
        <w:spacing w:after="0" w:line="240" w:lineRule="auto"/>
      </w:pPr>
      <w:r>
        <w:separator/>
      </w:r>
    </w:p>
  </w:footnote>
  <w:footnote w:type="continuationSeparator" w:id="0">
    <w:p w14:paraId="3029E4A3" w14:textId="77777777" w:rsidR="00984924" w:rsidRDefault="00984924"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C3AA7" w14:textId="449030AE" w:rsidR="00DF754F" w:rsidRPr="00DF754F" w:rsidRDefault="00043EB7" w:rsidP="00DF754F">
    <w:pPr>
      <w:pStyle w:val="Header"/>
      <w:jc w:val="center"/>
      <w:rPr>
        <w:rFonts w:asciiTheme="majorHAnsi" w:hAnsiTheme="majorHAnsi"/>
        <w:color w:val="3B3838" w:themeColor="background2" w:themeShade="40"/>
        <w:sz w:val="32"/>
      </w:rPr>
    </w:pPr>
    <w:r>
      <w:rPr>
        <w:rFonts w:asciiTheme="majorHAnsi" w:hAnsiTheme="majorHAnsi"/>
        <w:color w:val="3B3838" w:themeColor="background2" w:themeShade="40"/>
        <w:sz w:val="32"/>
      </w:rPr>
      <w:t xml:space="preserve">People </w:t>
    </w:r>
    <w:r w:rsidR="00234A9D">
      <w:rPr>
        <w:rFonts w:asciiTheme="majorHAnsi" w:hAnsiTheme="majorHAnsi"/>
        <w:color w:val="3B3838" w:themeColor="background2" w:themeShade="40"/>
        <w:sz w:val="32"/>
      </w:rPr>
      <w:t>Committee</w:t>
    </w:r>
  </w:p>
  <w:p w14:paraId="6EDE1EFA" w14:textId="3C630C5C" w:rsidR="00201C81" w:rsidRPr="00DF754F" w:rsidRDefault="00DF754F" w:rsidP="00DF754F">
    <w:pPr>
      <w:pStyle w:val="Header"/>
      <w:jc w:val="center"/>
    </w:pPr>
    <w:r w:rsidRPr="00DF754F">
      <w:rPr>
        <w:rFonts w:asciiTheme="majorHAnsi" w:hAnsiTheme="majorHAnsi"/>
        <w:color w:val="3B3838" w:themeColor="background2" w:themeShade="40"/>
        <w:sz w:val="32"/>
      </w:rPr>
      <w:t>Terms of Reference (TOR)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74"/>
      <w:gridCol w:w="3357"/>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lang w:eastAsia="en-GB"/>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0CABD659" w:rsidR="00201C81" w:rsidRPr="006916B2" w:rsidRDefault="00201C81" w:rsidP="00201C81">
          <w:pPr>
            <w:pStyle w:val="Footer"/>
            <w:jc w:val="right"/>
          </w:pP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B6688"/>
    <w:multiLevelType w:val="multilevel"/>
    <w:tmpl w:val="710C3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4A576B"/>
    <w:multiLevelType w:val="hybridMultilevel"/>
    <w:tmpl w:val="75A4AC32"/>
    <w:lvl w:ilvl="0" w:tplc="08090001">
      <w:start w:val="1"/>
      <w:numFmt w:val="bullet"/>
      <w:lvlText w:val=""/>
      <w:lvlJc w:val="left"/>
      <w:pPr>
        <w:ind w:left="366" w:hanging="360"/>
      </w:pPr>
      <w:rPr>
        <w:rFonts w:ascii="Symbol" w:hAnsi="Symbol" w:hint="default"/>
        <w:b/>
      </w:rPr>
    </w:lvl>
    <w:lvl w:ilvl="1" w:tplc="FFFFFFFF">
      <w:start w:val="1"/>
      <w:numFmt w:val="lowerLetter"/>
      <w:lvlText w:val="%2."/>
      <w:lvlJc w:val="left"/>
      <w:pPr>
        <w:ind w:left="1086" w:hanging="360"/>
      </w:pPr>
    </w:lvl>
    <w:lvl w:ilvl="2" w:tplc="FFFFFFFF" w:tentative="1">
      <w:start w:val="1"/>
      <w:numFmt w:val="lowerRoman"/>
      <w:lvlText w:val="%3."/>
      <w:lvlJc w:val="right"/>
      <w:pPr>
        <w:ind w:left="1806" w:hanging="180"/>
      </w:pPr>
    </w:lvl>
    <w:lvl w:ilvl="3" w:tplc="FFFFFFFF" w:tentative="1">
      <w:start w:val="1"/>
      <w:numFmt w:val="decimal"/>
      <w:lvlText w:val="%4."/>
      <w:lvlJc w:val="left"/>
      <w:pPr>
        <w:ind w:left="2526" w:hanging="360"/>
      </w:pPr>
    </w:lvl>
    <w:lvl w:ilvl="4" w:tplc="FFFFFFFF" w:tentative="1">
      <w:start w:val="1"/>
      <w:numFmt w:val="lowerLetter"/>
      <w:lvlText w:val="%5."/>
      <w:lvlJc w:val="left"/>
      <w:pPr>
        <w:ind w:left="3246" w:hanging="360"/>
      </w:pPr>
    </w:lvl>
    <w:lvl w:ilvl="5" w:tplc="FFFFFFFF" w:tentative="1">
      <w:start w:val="1"/>
      <w:numFmt w:val="lowerRoman"/>
      <w:lvlText w:val="%6."/>
      <w:lvlJc w:val="right"/>
      <w:pPr>
        <w:ind w:left="3966" w:hanging="180"/>
      </w:pPr>
    </w:lvl>
    <w:lvl w:ilvl="6" w:tplc="FFFFFFFF" w:tentative="1">
      <w:start w:val="1"/>
      <w:numFmt w:val="decimal"/>
      <w:lvlText w:val="%7."/>
      <w:lvlJc w:val="left"/>
      <w:pPr>
        <w:ind w:left="4686" w:hanging="360"/>
      </w:pPr>
    </w:lvl>
    <w:lvl w:ilvl="7" w:tplc="FFFFFFFF" w:tentative="1">
      <w:start w:val="1"/>
      <w:numFmt w:val="lowerLetter"/>
      <w:lvlText w:val="%8."/>
      <w:lvlJc w:val="left"/>
      <w:pPr>
        <w:ind w:left="5406" w:hanging="360"/>
      </w:pPr>
    </w:lvl>
    <w:lvl w:ilvl="8" w:tplc="FFFFFFFF" w:tentative="1">
      <w:start w:val="1"/>
      <w:numFmt w:val="lowerRoman"/>
      <w:lvlText w:val="%9."/>
      <w:lvlJc w:val="right"/>
      <w:pPr>
        <w:ind w:left="6126" w:hanging="180"/>
      </w:pPr>
    </w:lvl>
  </w:abstractNum>
  <w:abstractNum w:abstractNumId="2" w15:restartNumberingAfterBreak="0">
    <w:nsid w:val="28E51C81"/>
    <w:multiLevelType w:val="hybridMultilevel"/>
    <w:tmpl w:val="FAE8303C"/>
    <w:lvl w:ilvl="0" w:tplc="F8AEAEC6">
      <w:numFmt w:val="bullet"/>
      <w:lvlText w:val="•"/>
      <w:lvlJc w:val="left"/>
      <w:pPr>
        <w:ind w:left="720" w:hanging="72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49461CC"/>
    <w:multiLevelType w:val="multilevel"/>
    <w:tmpl w:val="557E2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A01357"/>
    <w:multiLevelType w:val="hybridMultilevel"/>
    <w:tmpl w:val="58C61C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97341C5"/>
    <w:multiLevelType w:val="hybridMultilevel"/>
    <w:tmpl w:val="E41C99A6"/>
    <w:lvl w:ilvl="0" w:tplc="EF4A924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F46858"/>
    <w:multiLevelType w:val="hybridMultilevel"/>
    <w:tmpl w:val="C56C7600"/>
    <w:lvl w:ilvl="0" w:tplc="79BEF780">
      <w:start w:val="1"/>
      <w:numFmt w:val="bullet"/>
      <w:pStyle w:val="ListParagraph"/>
      <w:lvlText w:val=""/>
      <w:lvlJc w:val="left"/>
      <w:pPr>
        <w:ind w:left="366" w:hanging="360"/>
      </w:pPr>
      <w:rPr>
        <w:rFonts w:ascii="Symbol" w:hAnsi="Symbol" w:hint="default"/>
        <w:b/>
      </w:rPr>
    </w:lvl>
    <w:lvl w:ilvl="1" w:tplc="FFFFFFFF" w:tentative="1">
      <w:start w:val="1"/>
      <w:numFmt w:val="lowerLetter"/>
      <w:lvlText w:val="%2."/>
      <w:lvlJc w:val="left"/>
      <w:pPr>
        <w:ind w:left="1086" w:hanging="360"/>
      </w:pPr>
    </w:lvl>
    <w:lvl w:ilvl="2" w:tplc="FFFFFFFF" w:tentative="1">
      <w:start w:val="1"/>
      <w:numFmt w:val="lowerRoman"/>
      <w:lvlText w:val="%3."/>
      <w:lvlJc w:val="right"/>
      <w:pPr>
        <w:ind w:left="1806" w:hanging="180"/>
      </w:pPr>
    </w:lvl>
    <w:lvl w:ilvl="3" w:tplc="FFFFFFFF" w:tentative="1">
      <w:start w:val="1"/>
      <w:numFmt w:val="decimal"/>
      <w:lvlText w:val="%4."/>
      <w:lvlJc w:val="left"/>
      <w:pPr>
        <w:ind w:left="2526" w:hanging="360"/>
      </w:pPr>
    </w:lvl>
    <w:lvl w:ilvl="4" w:tplc="FFFFFFFF" w:tentative="1">
      <w:start w:val="1"/>
      <w:numFmt w:val="lowerLetter"/>
      <w:lvlText w:val="%5."/>
      <w:lvlJc w:val="left"/>
      <w:pPr>
        <w:ind w:left="3246" w:hanging="360"/>
      </w:pPr>
    </w:lvl>
    <w:lvl w:ilvl="5" w:tplc="FFFFFFFF" w:tentative="1">
      <w:start w:val="1"/>
      <w:numFmt w:val="lowerRoman"/>
      <w:lvlText w:val="%6."/>
      <w:lvlJc w:val="right"/>
      <w:pPr>
        <w:ind w:left="3966" w:hanging="180"/>
      </w:pPr>
    </w:lvl>
    <w:lvl w:ilvl="6" w:tplc="FFFFFFFF" w:tentative="1">
      <w:start w:val="1"/>
      <w:numFmt w:val="decimal"/>
      <w:lvlText w:val="%7."/>
      <w:lvlJc w:val="left"/>
      <w:pPr>
        <w:ind w:left="4686" w:hanging="360"/>
      </w:pPr>
    </w:lvl>
    <w:lvl w:ilvl="7" w:tplc="FFFFFFFF" w:tentative="1">
      <w:start w:val="1"/>
      <w:numFmt w:val="lowerLetter"/>
      <w:lvlText w:val="%8."/>
      <w:lvlJc w:val="left"/>
      <w:pPr>
        <w:ind w:left="5406" w:hanging="360"/>
      </w:pPr>
    </w:lvl>
    <w:lvl w:ilvl="8" w:tplc="FFFFFFFF" w:tentative="1">
      <w:start w:val="1"/>
      <w:numFmt w:val="lowerRoman"/>
      <w:lvlText w:val="%9."/>
      <w:lvlJc w:val="right"/>
      <w:pPr>
        <w:ind w:left="6126" w:hanging="180"/>
      </w:pPr>
    </w:lvl>
  </w:abstractNum>
  <w:abstractNum w:abstractNumId="7" w15:restartNumberingAfterBreak="0">
    <w:nsid w:val="50EA7881"/>
    <w:multiLevelType w:val="hybridMultilevel"/>
    <w:tmpl w:val="8BA0E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9C4514"/>
    <w:multiLevelType w:val="hybridMultilevel"/>
    <w:tmpl w:val="287440C6"/>
    <w:lvl w:ilvl="0" w:tplc="FFFFFFFF">
      <w:start w:val="1"/>
      <w:numFmt w:val="bullet"/>
      <w:lvlText w:val=""/>
      <w:lvlJc w:val="left"/>
      <w:pPr>
        <w:ind w:left="366" w:hanging="360"/>
      </w:pPr>
      <w:rPr>
        <w:rFonts w:ascii="Symbol" w:hAnsi="Symbol" w:hint="default"/>
        <w:b/>
      </w:rPr>
    </w:lvl>
    <w:lvl w:ilvl="1" w:tplc="0809001B">
      <w:start w:val="1"/>
      <w:numFmt w:val="lowerRoman"/>
      <w:lvlText w:val="%2."/>
      <w:lvlJc w:val="right"/>
      <w:pPr>
        <w:ind w:left="1086" w:hanging="360"/>
      </w:pPr>
    </w:lvl>
    <w:lvl w:ilvl="2" w:tplc="FFFFFFFF" w:tentative="1">
      <w:start w:val="1"/>
      <w:numFmt w:val="lowerRoman"/>
      <w:lvlText w:val="%3."/>
      <w:lvlJc w:val="right"/>
      <w:pPr>
        <w:ind w:left="1806" w:hanging="180"/>
      </w:pPr>
    </w:lvl>
    <w:lvl w:ilvl="3" w:tplc="FFFFFFFF" w:tentative="1">
      <w:start w:val="1"/>
      <w:numFmt w:val="decimal"/>
      <w:lvlText w:val="%4."/>
      <w:lvlJc w:val="left"/>
      <w:pPr>
        <w:ind w:left="2526" w:hanging="360"/>
      </w:pPr>
    </w:lvl>
    <w:lvl w:ilvl="4" w:tplc="FFFFFFFF" w:tentative="1">
      <w:start w:val="1"/>
      <w:numFmt w:val="lowerLetter"/>
      <w:lvlText w:val="%5."/>
      <w:lvlJc w:val="left"/>
      <w:pPr>
        <w:ind w:left="3246" w:hanging="360"/>
      </w:pPr>
    </w:lvl>
    <w:lvl w:ilvl="5" w:tplc="FFFFFFFF" w:tentative="1">
      <w:start w:val="1"/>
      <w:numFmt w:val="lowerRoman"/>
      <w:lvlText w:val="%6."/>
      <w:lvlJc w:val="right"/>
      <w:pPr>
        <w:ind w:left="3966" w:hanging="180"/>
      </w:pPr>
    </w:lvl>
    <w:lvl w:ilvl="6" w:tplc="FFFFFFFF" w:tentative="1">
      <w:start w:val="1"/>
      <w:numFmt w:val="decimal"/>
      <w:lvlText w:val="%7."/>
      <w:lvlJc w:val="left"/>
      <w:pPr>
        <w:ind w:left="4686" w:hanging="360"/>
      </w:pPr>
    </w:lvl>
    <w:lvl w:ilvl="7" w:tplc="FFFFFFFF" w:tentative="1">
      <w:start w:val="1"/>
      <w:numFmt w:val="lowerLetter"/>
      <w:lvlText w:val="%8."/>
      <w:lvlJc w:val="left"/>
      <w:pPr>
        <w:ind w:left="5406" w:hanging="360"/>
      </w:pPr>
    </w:lvl>
    <w:lvl w:ilvl="8" w:tplc="FFFFFFFF" w:tentative="1">
      <w:start w:val="1"/>
      <w:numFmt w:val="lowerRoman"/>
      <w:lvlText w:val="%9."/>
      <w:lvlJc w:val="right"/>
      <w:pPr>
        <w:ind w:left="6126" w:hanging="180"/>
      </w:pPr>
    </w:lvl>
  </w:abstractNum>
  <w:abstractNum w:abstractNumId="9" w15:restartNumberingAfterBreak="0">
    <w:nsid w:val="64A9641E"/>
    <w:multiLevelType w:val="hybridMultilevel"/>
    <w:tmpl w:val="2B409290"/>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num w:numId="1" w16cid:durableId="2038508790">
    <w:abstractNumId w:val="2"/>
  </w:num>
  <w:num w:numId="2" w16cid:durableId="1627546558">
    <w:abstractNumId w:val="1"/>
  </w:num>
  <w:num w:numId="3" w16cid:durableId="1435327180">
    <w:abstractNumId w:val="8"/>
  </w:num>
  <w:num w:numId="4" w16cid:durableId="1290818606">
    <w:abstractNumId w:val="6"/>
  </w:num>
  <w:num w:numId="5" w16cid:durableId="936787085">
    <w:abstractNumId w:val="3"/>
  </w:num>
  <w:num w:numId="6" w16cid:durableId="250623120">
    <w:abstractNumId w:val="0"/>
  </w:num>
  <w:num w:numId="7" w16cid:durableId="1666476754">
    <w:abstractNumId w:val="7"/>
  </w:num>
  <w:num w:numId="8" w16cid:durableId="1144464184">
    <w:abstractNumId w:val="9"/>
  </w:num>
  <w:num w:numId="9" w16cid:durableId="107554696">
    <w:abstractNumId w:val="5"/>
  </w:num>
  <w:num w:numId="10" w16cid:durableId="423845591">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10632"/>
    <w:rsid w:val="00021DE7"/>
    <w:rsid w:val="000243FD"/>
    <w:rsid w:val="000435A3"/>
    <w:rsid w:val="00043EB7"/>
    <w:rsid w:val="000569FB"/>
    <w:rsid w:val="000736A3"/>
    <w:rsid w:val="000D6144"/>
    <w:rsid w:val="000F6ACC"/>
    <w:rsid w:val="001058C2"/>
    <w:rsid w:val="001101C3"/>
    <w:rsid w:val="0012400D"/>
    <w:rsid w:val="00131418"/>
    <w:rsid w:val="00140890"/>
    <w:rsid w:val="00163B17"/>
    <w:rsid w:val="00172155"/>
    <w:rsid w:val="001727E7"/>
    <w:rsid w:val="001829F3"/>
    <w:rsid w:val="001870DD"/>
    <w:rsid w:val="00187B2A"/>
    <w:rsid w:val="00197F9C"/>
    <w:rsid w:val="001B79A9"/>
    <w:rsid w:val="001B7C8A"/>
    <w:rsid w:val="001D1217"/>
    <w:rsid w:val="001D65E7"/>
    <w:rsid w:val="001E258D"/>
    <w:rsid w:val="001E73A1"/>
    <w:rsid w:val="00201C81"/>
    <w:rsid w:val="00202A48"/>
    <w:rsid w:val="00205DC4"/>
    <w:rsid w:val="00227BB7"/>
    <w:rsid w:val="00234A9D"/>
    <w:rsid w:val="00234B1A"/>
    <w:rsid w:val="002358A6"/>
    <w:rsid w:val="00261735"/>
    <w:rsid w:val="002971C7"/>
    <w:rsid w:val="002A334E"/>
    <w:rsid w:val="002B14A0"/>
    <w:rsid w:val="002B4D63"/>
    <w:rsid w:val="002E052A"/>
    <w:rsid w:val="002E6BB8"/>
    <w:rsid w:val="0030330C"/>
    <w:rsid w:val="00320880"/>
    <w:rsid w:val="00345C43"/>
    <w:rsid w:val="003539B4"/>
    <w:rsid w:val="0037495F"/>
    <w:rsid w:val="00390C8A"/>
    <w:rsid w:val="003B2555"/>
    <w:rsid w:val="003B5CAF"/>
    <w:rsid w:val="003B6FA1"/>
    <w:rsid w:val="003B7015"/>
    <w:rsid w:val="003D75B4"/>
    <w:rsid w:val="003E5324"/>
    <w:rsid w:val="003F037B"/>
    <w:rsid w:val="003F11A1"/>
    <w:rsid w:val="003F1ED2"/>
    <w:rsid w:val="00401EE1"/>
    <w:rsid w:val="00410309"/>
    <w:rsid w:val="00420482"/>
    <w:rsid w:val="00426F5A"/>
    <w:rsid w:val="004322EF"/>
    <w:rsid w:val="0044469C"/>
    <w:rsid w:val="004449A2"/>
    <w:rsid w:val="0045057C"/>
    <w:rsid w:val="00464F1E"/>
    <w:rsid w:val="00465B6A"/>
    <w:rsid w:val="00467E32"/>
    <w:rsid w:val="0047176A"/>
    <w:rsid w:val="00477729"/>
    <w:rsid w:val="004834CC"/>
    <w:rsid w:val="00484426"/>
    <w:rsid w:val="004907AF"/>
    <w:rsid w:val="004B525A"/>
    <w:rsid w:val="004B54E7"/>
    <w:rsid w:val="004B5956"/>
    <w:rsid w:val="004D0936"/>
    <w:rsid w:val="00517838"/>
    <w:rsid w:val="0052478D"/>
    <w:rsid w:val="00547491"/>
    <w:rsid w:val="00551851"/>
    <w:rsid w:val="005578B3"/>
    <w:rsid w:val="005646A6"/>
    <w:rsid w:val="00566390"/>
    <w:rsid w:val="005719EF"/>
    <w:rsid w:val="00580C65"/>
    <w:rsid w:val="00590246"/>
    <w:rsid w:val="005C3B52"/>
    <w:rsid w:val="005D29CA"/>
    <w:rsid w:val="005D5E39"/>
    <w:rsid w:val="005D75B4"/>
    <w:rsid w:val="005E2592"/>
    <w:rsid w:val="00604BEE"/>
    <w:rsid w:val="0065237D"/>
    <w:rsid w:val="00666F1B"/>
    <w:rsid w:val="00673D92"/>
    <w:rsid w:val="006768D4"/>
    <w:rsid w:val="00680120"/>
    <w:rsid w:val="00687118"/>
    <w:rsid w:val="006916B2"/>
    <w:rsid w:val="006A391A"/>
    <w:rsid w:val="006C6AD2"/>
    <w:rsid w:val="006E1BFF"/>
    <w:rsid w:val="006E41C2"/>
    <w:rsid w:val="00702738"/>
    <w:rsid w:val="0071613D"/>
    <w:rsid w:val="007509FB"/>
    <w:rsid w:val="00765DFB"/>
    <w:rsid w:val="0077433A"/>
    <w:rsid w:val="007A7732"/>
    <w:rsid w:val="007B027D"/>
    <w:rsid w:val="007B2FFA"/>
    <w:rsid w:val="007B414A"/>
    <w:rsid w:val="007B4232"/>
    <w:rsid w:val="007C65F2"/>
    <w:rsid w:val="007E6CCB"/>
    <w:rsid w:val="007F3FDD"/>
    <w:rsid w:val="008025E5"/>
    <w:rsid w:val="00810ABA"/>
    <w:rsid w:val="008122CA"/>
    <w:rsid w:val="00821EA7"/>
    <w:rsid w:val="008508E8"/>
    <w:rsid w:val="008532D9"/>
    <w:rsid w:val="00863EA2"/>
    <w:rsid w:val="0089001A"/>
    <w:rsid w:val="00891D5B"/>
    <w:rsid w:val="008D1865"/>
    <w:rsid w:val="008D5496"/>
    <w:rsid w:val="008E7B23"/>
    <w:rsid w:val="0090383C"/>
    <w:rsid w:val="0092258B"/>
    <w:rsid w:val="009233C9"/>
    <w:rsid w:val="0093167E"/>
    <w:rsid w:val="00935C45"/>
    <w:rsid w:val="009578C7"/>
    <w:rsid w:val="00965F41"/>
    <w:rsid w:val="00984924"/>
    <w:rsid w:val="009864BE"/>
    <w:rsid w:val="009A4F7A"/>
    <w:rsid w:val="009B00B4"/>
    <w:rsid w:val="009D217C"/>
    <w:rsid w:val="009D4CEA"/>
    <w:rsid w:val="009D613E"/>
    <w:rsid w:val="00A13860"/>
    <w:rsid w:val="00A1529B"/>
    <w:rsid w:val="00A43428"/>
    <w:rsid w:val="00A74171"/>
    <w:rsid w:val="00A96115"/>
    <w:rsid w:val="00A9740E"/>
    <w:rsid w:val="00AD1A69"/>
    <w:rsid w:val="00AF0C16"/>
    <w:rsid w:val="00B009C7"/>
    <w:rsid w:val="00B1340E"/>
    <w:rsid w:val="00B44007"/>
    <w:rsid w:val="00B461C8"/>
    <w:rsid w:val="00B633A6"/>
    <w:rsid w:val="00B645C7"/>
    <w:rsid w:val="00B848A7"/>
    <w:rsid w:val="00B9218C"/>
    <w:rsid w:val="00BB169A"/>
    <w:rsid w:val="00BC0432"/>
    <w:rsid w:val="00C00FFF"/>
    <w:rsid w:val="00C3567D"/>
    <w:rsid w:val="00C47B58"/>
    <w:rsid w:val="00C97DCB"/>
    <w:rsid w:val="00CA4FF5"/>
    <w:rsid w:val="00CD2A5A"/>
    <w:rsid w:val="00CD4393"/>
    <w:rsid w:val="00CD4691"/>
    <w:rsid w:val="00CF3782"/>
    <w:rsid w:val="00CF5FAC"/>
    <w:rsid w:val="00D072A8"/>
    <w:rsid w:val="00D11CCB"/>
    <w:rsid w:val="00D21517"/>
    <w:rsid w:val="00D50D1F"/>
    <w:rsid w:val="00D700DB"/>
    <w:rsid w:val="00D960CF"/>
    <w:rsid w:val="00DB36AB"/>
    <w:rsid w:val="00DC1EF6"/>
    <w:rsid w:val="00DF754F"/>
    <w:rsid w:val="00E00262"/>
    <w:rsid w:val="00E0032E"/>
    <w:rsid w:val="00E05AB2"/>
    <w:rsid w:val="00E07738"/>
    <w:rsid w:val="00E13A1C"/>
    <w:rsid w:val="00E23B05"/>
    <w:rsid w:val="00E540F8"/>
    <w:rsid w:val="00E55566"/>
    <w:rsid w:val="00E74797"/>
    <w:rsid w:val="00E8238F"/>
    <w:rsid w:val="00EA2A50"/>
    <w:rsid w:val="00EE1CEC"/>
    <w:rsid w:val="00EE5C13"/>
    <w:rsid w:val="00EF29B6"/>
    <w:rsid w:val="00EF4CE9"/>
    <w:rsid w:val="00F00667"/>
    <w:rsid w:val="00F46B34"/>
    <w:rsid w:val="00F50C92"/>
    <w:rsid w:val="00F647F7"/>
    <w:rsid w:val="00F65DE8"/>
    <w:rsid w:val="00F665AF"/>
    <w:rsid w:val="00F96334"/>
    <w:rsid w:val="00F96B81"/>
    <w:rsid w:val="00F972C6"/>
    <w:rsid w:val="00FD3DA4"/>
    <w:rsid w:val="00FE36A3"/>
    <w:rsid w:val="00FF2E3B"/>
    <w:rsid w:val="00FF4507"/>
    <w:rsid w:val="00FF5627"/>
    <w:rsid w:val="00FF65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AD1A69"/>
    <w:pPr>
      <w:keepNext/>
      <w:keepLines/>
      <w:spacing w:after="0" w:line="240" w:lineRule="auto"/>
      <w:jc w:val="center"/>
      <w:outlineLvl w:val="0"/>
    </w:pPr>
    <w:rPr>
      <w:rFonts w:ascii="Bree Serif" w:eastAsiaTheme="majorEastAsia" w:hAnsi="Bree Serif" w:cstheme="majorBidi"/>
      <w:color w:val="007777" w:themeColor="accent1"/>
      <w:sz w:val="80"/>
      <w:szCs w:val="80"/>
      <w:lang w:val="en-US" w:bidi="en-US"/>
    </w:rPr>
  </w:style>
  <w:style w:type="paragraph" w:styleId="Heading2">
    <w:name w:val="heading 2"/>
    <w:basedOn w:val="Normal"/>
    <w:next w:val="Normal"/>
    <w:link w:val="Heading2Char"/>
    <w:autoRedefine/>
    <w:uiPriority w:val="9"/>
    <w:unhideWhenUsed/>
    <w:qFormat/>
    <w:rsid w:val="003B2555"/>
    <w:pPr>
      <w:keepNext/>
      <w:keepLines/>
      <w:spacing w:before="24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Normal"/>
    <w:next w:val="Normal"/>
    <w:link w:val="Heading3Char"/>
    <w:autoRedefine/>
    <w:uiPriority w:val="9"/>
    <w:unhideWhenUsed/>
    <w:qFormat/>
    <w:rsid w:val="006768D4"/>
    <w:pPr>
      <w:ind w:left="6"/>
      <w:outlineLvl w:val="2"/>
    </w:pPr>
    <w:rPr>
      <w:rFonts w:eastAsiaTheme="majorEastAsia" w:cs="Arial"/>
      <w:b/>
      <w:bCs/>
      <w:color w:val="007777"/>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1A69"/>
    <w:rPr>
      <w:rFonts w:ascii="Bree Serif" w:eastAsiaTheme="majorEastAsia" w:hAnsi="Bree Serif" w:cstheme="majorBidi"/>
      <w:color w:val="007777" w:themeColor="accent1"/>
      <w:sz w:val="80"/>
      <w:szCs w:val="80"/>
      <w:lang w:val="en-US" w:bidi="en-US"/>
    </w:rPr>
  </w:style>
  <w:style w:type="character" w:customStyle="1" w:styleId="Heading2Char">
    <w:name w:val="Heading 2 Char"/>
    <w:basedOn w:val="DefaultParagraphFont"/>
    <w:link w:val="Heading2"/>
    <w:uiPriority w:val="9"/>
    <w:rsid w:val="003B2555"/>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6768D4"/>
    <w:rPr>
      <w:rFonts w:ascii="Arial" w:eastAsiaTheme="majorEastAsia" w:hAnsi="Arial" w:cs="Arial"/>
      <w:b/>
      <w:bCs/>
      <w:color w:val="007777"/>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B009C7"/>
    <w:pPr>
      <w:numPr>
        <w:numId w:val="4"/>
      </w:numPr>
      <w:spacing w:before="120" w:after="0" w:line="240" w:lineRule="auto"/>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891D5B"/>
    <w:rPr>
      <w:sz w:val="16"/>
      <w:szCs w:val="16"/>
    </w:rPr>
  </w:style>
  <w:style w:type="paragraph" w:styleId="CommentText">
    <w:name w:val="annotation text"/>
    <w:basedOn w:val="Normal"/>
    <w:link w:val="CommentTextChar"/>
    <w:uiPriority w:val="99"/>
    <w:unhideWhenUsed/>
    <w:rsid w:val="00891D5B"/>
    <w:pPr>
      <w:spacing w:line="240" w:lineRule="auto"/>
    </w:pPr>
    <w:rPr>
      <w:sz w:val="20"/>
      <w:szCs w:val="20"/>
    </w:rPr>
  </w:style>
  <w:style w:type="character" w:customStyle="1" w:styleId="CommentTextChar">
    <w:name w:val="Comment Text Char"/>
    <w:basedOn w:val="DefaultParagraphFont"/>
    <w:link w:val="CommentText"/>
    <w:uiPriority w:val="99"/>
    <w:rsid w:val="00891D5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91D5B"/>
    <w:rPr>
      <w:b/>
      <w:bCs/>
    </w:rPr>
  </w:style>
  <w:style w:type="character" w:customStyle="1" w:styleId="CommentSubjectChar">
    <w:name w:val="Comment Subject Char"/>
    <w:basedOn w:val="CommentTextChar"/>
    <w:link w:val="CommentSubject"/>
    <w:uiPriority w:val="99"/>
    <w:semiHidden/>
    <w:rsid w:val="00891D5B"/>
    <w:rPr>
      <w:rFonts w:ascii="Arial" w:hAnsi="Arial"/>
      <w:b/>
      <w:bCs/>
      <w:sz w:val="20"/>
      <w:szCs w:val="20"/>
    </w:rPr>
  </w:style>
  <w:style w:type="paragraph" w:styleId="Revision">
    <w:name w:val="Revision"/>
    <w:hidden/>
    <w:uiPriority w:val="99"/>
    <w:semiHidden/>
    <w:rsid w:val="0071613D"/>
    <w:pPr>
      <w:spacing w:after="0" w:line="240" w:lineRule="auto"/>
    </w:pPr>
    <w:rPr>
      <w:rFonts w:ascii="Arial" w:hAnsi="Arial"/>
    </w:rPr>
  </w:style>
  <w:style w:type="paragraph" w:customStyle="1" w:styleId="pf0">
    <w:name w:val="pf0"/>
    <w:basedOn w:val="Normal"/>
    <w:rsid w:val="000F6A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0F6ACC"/>
    <w:rPr>
      <w:rFonts w:ascii="Segoe UI" w:hAnsi="Segoe UI" w:cs="Segoe UI" w:hint="default"/>
      <w:sz w:val="18"/>
      <w:szCs w:val="18"/>
    </w:rPr>
  </w:style>
  <w:style w:type="paragraph" w:styleId="NormalWeb">
    <w:name w:val="Normal (Web)"/>
    <w:basedOn w:val="Normal"/>
    <w:uiPriority w:val="99"/>
    <w:unhideWhenUsed/>
    <w:rsid w:val="00234A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34A9D"/>
    <w:rPr>
      <w:b/>
      <w:bCs/>
    </w:rPr>
  </w:style>
  <w:style w:type="character" w:styleId="Emphasis">
    <w:name w:val="Emphasis"/>
    <w:basedOn w:val="DefaultParagraphFont"/>
    <w:uiPriority w:val="20"/>
    <w:qFormat/>
    <w:rsid w:val="002B4D63"/>
    <w:rPr>
      <w:i/>
      <w:iCs/>
    </w:rPr>
  </w:style>
  <w:style w:type="paragraph" w:customStyle="1" w:styleId="paragraph">
    <w:name w:val="paragraph"/>
    <w:basedOn w:val="Normal"/>
    <w:rsid w:val="00DC1E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C1EF6"/>
  </w:style>
  <w:style w:type="character" w:customStyle="1" w:styleId="eop">
    <w:name w:val="eop"/>
    <w:basedOn w:val="DefaultParagraphFont"/>
    <w:rsid w:val="00DC1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 w:id="2004509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1A76B-7E60-4F17-BA27-6D24BC33667D}">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60</TotalTime>
  <Pages>13</Pages>
  <Words>2946</Words>
  <Characters>16798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Enquiries</cp:lastModifiedBy>
  <cp:revision>5</cp:revision>
  <cp:lastPrinted>2022-02-09T17:27:00Z</cp:lastPrinted>
  <dcterms:created xsi:type="dcterms:W3CDTF">2026-01-14T13:39:00Z</dcterms:created>
  <dcterms:modified xsi:type="dcterms:W3CDTF">2026-02-26T15:46:00Z</dcterms:modified>
</cp:coreProperties>
</file>