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8FE" w:rsidRPr="00E12E42" w:rsidRDefault="002308FE" w:rsidP="002308FE">
      <w:pPr>
        <w:jc w:val="center"/>
        <w:rPr>
          <w:rFonts w:ascii="Century Gothic" w:hAnsi="Century Gothic"/>
          <w:b/>
          <w:sz w:val="22"/>
          <w:szCs w:val="22"/>
        </w:rPr>
      </w:pPr>
      <w:r w:rsidRPr="00E12E42">
        <w:rPr>
          <w:rFonts w:ascii="Century Gothic" w:hAnsi="Century Gothic"/>
          <w:b/>
          <w:sz w:val="22"/>
          <w:szCs w:val="22"/>
        </w:rPr>
        <w:t xml:space="preserve">HMP </w:t>
      </w:r>
      <w:r w:rsidR="00CD122D">
        <w:rPr>
          <w:rFonts w:ascii="Century Gothic" w:hAnsi="Century Gothic"/>
          <w:b/>
          <w:sz w:val="22"/>
          <w:szCs w:val="22"/>
        </w:rPr>
        <w:t>Ashfield</w:t>
      </w:r>
    </w:p>
    <w:p w:rsidR="002308FE" w:rsidRPr="00E12E42" w:rsidRDefault="002308FE" w:rsidP="002308FE">
      <w:pPr>
        <w:jc w:val="center"/>
        <w:rPr>
          <w:rFonts w:ascii="Century Gothic" w:hAnsi="Century Gothic"/>
          <w:b/>
          <w:sz w:val="22"/>
          <w:szCs w:val="22"/>
        </w:rPr>
      </w:pPr>
      <w:r w:rsidRPr="00E12E42">
        <w:rPr>
          <w:rFonts w:ascii="Century Gothic" w:hAnsi="Century Gothic"/>
          <w:b/>
          <w:sz w:val="22"/>
          <w:szCs w:val="22"/>
        </w:rPr>
        <w:t>Adult Safeguarding Concern</w:t>
      </w:r>
    </w:p>
    <w:p w:rsidR="002308FE" w:rsidRPr="00E12E42" w:rsidRDefault="002308FE" w:rsidP="002308FE">
      <w:pPr>
        <w:jc w:val="center"/>
        <w:rPr>
          <w:rFonts w:ascii="Century Gothic" w:hAnsi="Century Gothic"/>
          <w:b/>
          <w:sz w:val="22"/>
          <w:szCs w:val="22"/>
        </w:rPr>
      </w:pPr>
      <w:r w:rsidRPr="00E12E42">
        <w:rPr>
          <w:rFonts w:ascii="Century Gothic" w:hAnsi="Century Gothic"/>
          <w:b/>
          <w:sz w:val="22"/>
          <w:szCs w:val="22"/>
        </w:rPr>
        <w:t xml:space="preserve"> Referral Form</w:t>
      </w:r>
    </w:p>
    <w:p w:rsidR="002308FE" w:rsidRPr="00E12E42" w:rsidRDefault="002308FE" w:rsidP="002308FE">
      <w:pPr>
        <w:jc w:val="both"/>
        <w:rPr>
          <w:rFonts w:ascii="Century Gothic" w:hAnsi="Century Gothic"/>
          <w:sz w:val="16"/>
          <w:szCs w:val="16"/>
        </w:rPr>
      </w:pPr>
    </w:p>
    <w:p w:rsidR="002308FE" w:rsidRPr="00EA5D92" w:rsidRDefault="002308FE" w:rsidP="002308FE">
      <w:pPr>
        <w:autoSpaceDE w:val="0"/>
        <w:autoSpaceDN w:val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Everyone living and working in HMP </w:t>
      </w:r>
      <w:r w:rsidR="00CD122D">
        <w:rPr>
          <w:rFonts w:ascii="Century Gothic" w:hAnsi="Century Gothic"/>
          <w:color w:val="000000"/>
          <w:sz w:val="22"/>
          <w:szCs w:val="22"/>
        </w:rPr>
        <w:t>Ashfield</w:t>
      </w:r>
      <w:r>
        <w:rPr>
          <w:rFonts w:ascii="Century Gothic" w:hAnsi="Century Gothic"/>
          <w:color w:val="000000"/>
          <w:sz w:val="22"/>
          <w:szCs w:val="22"/>
        </w:rPr>
        <w:t xml:space="preserve"> has a responsibility to raise Adult Safeguarding concerns.  </w:t>
      </w:r>
    </w:p>
    <w:p w:rsidR="002308FE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>For the purposes of safeguarding adults, Section 42 of the Care Act 2014 defines an ‘Adult at Risk’ as being an adult who:-</w:t>
      </w: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 xml:space="preserve">Has needs for care and support (whether or not the Local Authority is meeting any of those needs) </w:t>
      </w:r>
      <w:r w:rsidRPr="00E12E42">
        <w:rPr>
          <w:rFonts w:ascii="Century Gothic" w:hAnsi="Century Gothic"/>
          <w:b/>
          <w:color w:val="000000"/>
          <w:sz w:val="16"/>
          <w:szCs w:val="16"/>
        </w:rPr>
        <w:t>and</w:t>
      </w: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 xml:space="preserve">Is experiencing, or at risk of, abuse or neglect </w:t>
      </w:r>
      <w:r w:rsidRPr="00E12E42">
        <w:rPr>
          <w:rFonts w:ascii="Century Gothic" w:hAnsi="Century Gothic"/>
          <w:b/>
          <w:color w:val="000000"/>
          <w:sz w:val="16"/>
          <w:szCs w:val="16"/>
        </w:rPr>
        <w:t>and</w:t>
      </w: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>As a result of those care and support needs is unable to protect themselves from the risk, or the experience of, abuse or neglect.</w:t>
      </w:r>
    </w:p>
    <w:p w:rsidR="002308FE" w:rsidRPr="00E12E42" w:rsidRDefault="002308FE" w:rsidP="002308FE">
      <w:pPr>
        <w:jc w:val="both"/>
        <w:rPr>
          <w:rFonts w:ascii="Century Gothic" w:hAnsi="Century Gothic"/>
          <w:sz w:val="16"/>
          <w:szCs w:val="16"/>
        </w:rPr>
      </w:pPr>
    </w:p>
    <w:p w:rsidR="002308FE" w:rsidRPr="00E12E42" w:rsidRDefault="002308FE" w:rsidP="002308FE">
      <w:pPr>
        <w:jc w:val="both"/>
        <w:rPr>
          <w:rFonts w:ascii="Century Gothic" w:hAnsi="Century Gothic"/>
          <w:sz w:val="16"/>
          <w:szCs w:val="16"/>
        </w:rPr>
      </w:pPr>
      <w:r w:rsidRPr="00E12E42">
        <w:rPr>
          <w:rFonts w:ascii="Century Gothic" w:hAnsi="Century Gothic"/>
          <w:sz w:val="16"/>
          <w:szCs w:val="16"/>
        </w:rPr>
        <w:t xml:space="preserve">In the custodial environment we </w:t>
      </w:r>
      <w:proofErr w:type="spellStart"/>
      <w:r w:rsidRPr="00E12E42">
        <w:rPr>
          <w:rFonts w:ascii="Century Gothic" w:hAnsi="Century Gothic"/>
          <w:sz w:val="16"/>
          <w:szCs w:val="16"/>
        </w:rPr>
        <w:t>recognise</w:t>
      </w:r>
      <w:proofErr w:type="spellEnd"/>
      <w:r w:rsidRPr="00E12E42">
        <w:rPr>
          <w:rFonts w:ascii="Century Gothic" w:hAnsi="Century Gothic"/>
          <w:sz w:val="16"/>
          <w:szCs w:val="16"/>
        </w:rPr>
        <w:t xml:space="preserve"> that any prisoner could become an adult in need of safeguarding.</w:t>
      </w:r>
    </w:p>
    <w:p w:rsidR="002308FE" w:rsidRPr="00E12E42" w:rsidRDefault="002308FE" w:rsidP="002308F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678"/>
        <w:gridCol w:w="172"/>
        <w:gridCol w:w="27"/>
        <w:gridCol w:w="27"/>
        <w:gridCol w:w="511"/>
        <w:gridCol w:w="363"/>
        <w:gridCol w:w="212"/>
        <w:gridCol w:w="536"/>
        <w:gridCol w:w="509"/>
        <w:gridCol w:w="15"/>
        <w:gridCol w:w="166"/>
        <w:gridCol w:w="1590"/>
        <w:gridCol w:w="53"/>
        <w:gridCol w:w="312"/>
        <w:gridCol w:w="15"/>
        <w:gridCol w:w="153"/>
        <w:gridCol w:w="2181"/>
      </w:tblGrid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Safeguarding Log Number: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(Safeguarding Manager to complete from data base)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Reporter Name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Work Area/ Contact Number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1285" w:type="dxa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</w:tc>
        <w:tc>
          <w:tcPr>
            <w:tcW w:w="2607" w:type="dxa"/>
            <w:gridSpan w:val="8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85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754" w:type="dxa"/>
            <w:gridSpan w:val="4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Signature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9B162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9031" w:type="dxa"/>
            <w:gridSpan w:val="18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Information Report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Please ensure you report all the details around your concerns, particularly: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Who is involved, name, age, DOB, relationship etc.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What has occurred/ or alleged/ or could occur 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When it/ or is alleged to have occurred/ or is likely to occur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Where the parties above are currently located</w:t>
            </w:r>
          </w:p>
          <w:p w:rsidR="002308FE" w:rsidRPr="008063E8" w:rsidRDefault="002308FE" w:rsidP="00E12E42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063E8">
              <w:rPr>
                <w:rFonts w:ascii="Century Gothic" w:hAnsi="Century Gothic"/>
                <w:b/>
                <w:i/>
                <w:sz w:val="22"/>
                <w:szCs w:val="22"/>
              </w:rPr>
              <w:t>What immediate actions have been taken to safeguard the individual/s</w:t>
            </w:r>
          </w:p>
          <w:p w:rsidR="008063E8" w:rsidRDefault="008063E8" w:rsidP="008063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Initial Concern Passed to</w:t>
            </w:r>
            <w:r w:rsidRPr="0005529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Safeguarding Manager </w:t>
            </w:r>
            <w:r w:rsidRPr="00E12E42">
              <w:rPr>
                <w:rFonts w:ascii="Century Gothic" w:hAnsi="Century Gothic"/>
                <w:b/>
                <w:i/>
                <w:sz w:val="18"/>
                <w:szCs w:val="18"/>
              </w:rPr>
              <w:t>(or Duty Governor in their absence)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1983" w:type="dxa"/>
            <w:gridSpan w:val="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</w:tc>
        <w:tc>
          <w:tcPr>
            <w:tcW w:w="1909" w:type="dxa"/>
            <w:gridSpan w:val="7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2" w:type="dxa"/>
            <w:gridSpan w:val="4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2807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9031" w:type="dxa"/>
            <w:gridSpan w:val="18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Risk Assessment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The Manager receiving the report should consider the current and potential risk to the prisoner and </w:t>
            </w:r>
            <w:proofErr w:type="spellStart"/>
            <w:r w:rsidRPr="00E12E42">
              <w:rPr>
                <w:rFonts w:ascii="Century Gothic" w:hAnsi="Century Gothic"/>
                <w:i/>
                <w:sz w:val="16"/>
                <w:szCs w:val="16"/>
              </w:rPr>
              <w:t>summarise</w:t>
            </w:r>
            <w:proofErr w:type="spellEnd"/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 below, including noting any actions that have been taken to safeguard the individual or others from harm. A summary of this assessment should be place on the prisoner’s case notes on NOMIS.</w:t>
            </w: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2308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Initial Review Completed by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185" w:type="dxa"/>
            <w:gridSpan w:val="4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243" w:type="dxa"/>
            <w:gridSpan w:val="7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3335" w:type="dxa"/>
            <w:gridSpan w:val="8"/>
            <w:shd w:val="clear" w:color="auto" w:fill="auto"/>
          </w:tcPr>
          <w:p w:rsidR="002308FE" w:rsidRPr="00E12E42" w:rsidRDefault="002308FE" w:rsidP="002308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Passed to Safeguarding Manager</w:t>
            </w:r>
          </w:p>
        </w:tc>
        <w:tc>
          <w:tcPr>
            <w:tcW w:w="5696" w:type="dxa"/>
            <w:gridSpan w:val="10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158" w:type="dxa"/>
            <w:gridSpan w:val="3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 xml:space="preserve">Date 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55" w:type="dxa"/>
            <w:gridSpan w:val="7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431" w:type="dxa"/>
            <w:gridSpan w:val="3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9031" w:type="dxa"/>
            <w:gridSpan w:val="18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Safeguarding Management Plan Assessment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The Safeguarding Manager receiving this report should consider the current and potential risk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to </w:t>
            </w: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the prisoner and decide whether or not a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further </w:t>
            </w: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Safeguarding Management Plan needs to be put in place. If it does the details of the Plan and who is responsible for each element should be recorded below. A summary of the Plan should be recorded on the prisoner’s case notes on NOMIS. 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Management Plan Required:        Yes   /    No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E12E42">
              <w:rPr>
                <w:rFonts w:ascii="Century Gothic" w:hAnsi="Century Gothic"/>
                <w:i/>
                <w:sz w:val="16"/>
                <w:szCs w:val="16"/>
              </w:rPr>
              <w:t>(If no please explain reasons briefly below)</w:t>
            </w: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E12E4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Management Plan: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(who / what / where/ when)</w:t>
            </w: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3115" w:type="dxa"/>
            <w:gridSpan w:val="7"/>
            <w:shd w:val="clear" w:color="auto" w:fill="auto"/>
          </w:tcPr>
          <w:p w:rsidR="002308FE" w:rsidRPr="00E12E42" w:rsidRDefault="002308FE" w:rsidP="002308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Management Plan Completed by</w:t>
            </w:r>
          </w:p>
        </w:tc>
        <w:tc>
          <w:tcPr>
            <w:tcW w:w="5916" w:type="dxa"/>
            <w:gridSpan w:val="11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212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</w:tc>
        <w:tc>
          <w:tcPr>
            <w:tcW w:w="2384" w:type="dxa"/>
            <w:gridSpan w:val="7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78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257" w:type="dxa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2308FE" w:rsidRPr="00E12E42" w:rsidRDefault="002308FE" w:rsidP="002308FE">
      <w:pPr>
        <w:rPr>
          <w:rFonts w:ascii="Century Gothic" w:hAnsi="Century Gothic"/>
          <w:sz w:val="22"/>
          <w:szCs w:val="22"/>
        </w:rPr>
      </w:pPr>
    </w:p>
    <w:p w:rsidR="002308FE" w:rsidRPr="00E12E42" w:rsidRDefault="002308FE" w:rsidP="002308FE">
      <w:pPr>
        <w:ind w:right="-432"/>
        <w:jc w:val="both"/>
        <w:rPr>
          <w:rFonts w:ascii="Century Gothic" w:hAnsi="Century Gothic" w:cs="Calibri"/>
          <w:sz w:val="22"/>
          <w:szCs w:val="22"/>
          <w:lang w:val="en-GB"/>
        </w:rPr>
      </w:pPr>
    </w:p>
    <w:p w:rsidR="00FC5D89" w:rsidRDefault="00000000"/>
    <w:sectPr w:rsidR="00FC5D89" w:rsidSect="000A6931">
      <w:headerReference w:type="default" r:id="rId7"/>
      <w:footerReference w:type="even" r:id="rId8"/>
      <w:footerReference w:type="default" r:id="rId9"/>
      <w:pgSz w:w="11900" w:h="16840"/>
      <w:pgMar w:top="1078" w:right="1554" w:bottom="1418" w:left="1418" w:header="709" w:footer="7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1A4" w:rsidRDefault="00D501A4">
      <w:r>
        <w:separator/>
      </w:r>
    </w:p>
  </w:endnote>
  <w:endnote w:type="continuationSeparator" w:id="0">
    <w:p w:rsidR="00D501A4" w:rsidRDefault="00D5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AA" w:rsidRDefault="002308FE" w:rsidP="00573D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EAA" w:rsidRDefault="00000000" w:rsidP="00573D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AA" w:rsidRDefault="002308F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B1624">
      <w:rPr>
        <w:noProof/>
      </w:rPr>
      <w:t>1</w:t>
    </w:r>
    <w:r>
      <w:rPr>
        <w:noProof/>
      </w:rPr>
      <w:fldChar w:fldCharType="end"/>
    </w:r>
  </w:p>
  <w:p w:rsidR="00E20EAA" w:rsidRPr="00174AA2" w:rsidRDefault="002308FE" w:rsidP="00573DD5">
    <w:pPr>
      <w:pStyle w:val="Footer"/>
      <w:ind w:right="360"/>
      <w:rPr>
        <w:rFonts w:ascii="Century Gothic" w:hAnsi="Century Gothic"/>
        <w:sz w:val="16"/>
        <w:szCs w:val="16"/>
      </w:rPr>
    </w:pPr>
    <w:r>
      <w:tab/>
    </w:r>
    <w:r w:rsidR="00CD122D">
      <w:rPr>
        <w:rFonts w:ascii="Century Gothic" w:hAnsi="Century Gothic"/>
        <w:sz w:val="16"/>
        <w:szCs w:val="16"/>
      </w:rPr>
      <w:t>HMP Ashfield</w:t>
    </w:r>
    <w:r w:rsidRPr="00174AA2">
      <w:rPr>
        <w:rFonts w:ascii="Century Gothic" w:hAnsi="Century Gothic"/>
        <w:sz w:val="16"/>
        <w:szCs w:val="16"/>
      </w:rPr>
      <w:t xml:space="preserve"> – Safeguarding </w:t>
    </w:r>
    <w:r>
      <w:rPr>
        <w:rFonts w:ascii="Century Gothic" w:hAnsi="Century Gothic"/>
        <w:sz w:val="16"/>
        <w:szCs w:val="16"/>
      </w:rPr>
      <w:t>Polic</w:t>
    </w:r>
    <w:r w:rsidRPr="00174AA2">
      <w:rPr>
        <w:rFonts w:ascii="Century Gothic" w:hAnsi="Century Gothic"/>
        <w:sz w:val="16"/>
        <w:szCs w:val="16"/>
      </w:rPr>
      <w:t>y</w:t>
    </w:r>
  </w:p>
  <w:p w:rsidR="00E20EAA" w:rsidRPr="00174AA2" w:rsidRDefault="002308FE" w:rsidP="00573DD5">
    <w:pPr>
      <w:pStyle w:val="Footer"/>
      <w:ind w:right="3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>Reviewed March</w:t>
    </w:r>
    <w:r w:rsidR="00CD122D">
      <w:rPr>
        <w:rFonts w:ascii="Century Gothic" w:hAnsi="Century Gothic"/>
        <w:sz w:val="16"/>
        <w:szCs w:val="16"/>
      </w:rPr>
      <w:t xml:space="preserve"> 2020</w:t>
    </w:r>
  </w:p>
  <w:p w:rsidR="00E20EAA" w:rsidRPr="00174AA2" w:rsidRDefault="002308FE" w:rsidP="00174AA2">
    <w:pPr>
      <w:pStyle w:val="Footer"/>
      <w:tabs>
        <w:tab w:val="clear" w:pos="8640"/>
        <w:tab w:val="left" w:pos="6075"/>
      </w:tabs>
      <w:ind w:right="360"/>
      <w:rPr>
        <w:rFonts w:ascii="Century Gothic" w:hAnsi="Century Gothic"/>
        <w:sz w:val="16"/>
        <w:szCs w:val="16"/>
      </w:rPr>
    </w:pPr>
    <w:r w:rsidRPr="00174AA2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1A4" w:rsidRDefault="00D501A4">
      <w:r>
        <w:separator/>
      </w:r>
    </w:p>
  </w:footnote>
  <w:footnote w:type="continuationSeparator" w:id="0">
    <w:p w:rsidR="00D501A4" w:rsidRDefault="00D5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AA" w:rsidRPr="009E2A55" w:rsidRDefault="00CD122D" w:rsidP="00573DD5">
    <w:pPr>
      <w:pStyle w:val="Header"/>
      <w:ind w:left="2880" w:right="-1134" w:firstLine="720"/>
      <w:rPr>
        <w:rFonts w:ascii="Century Gothic" w:hAnsi="Century Gothic" w:cs="Arial"/>
      </w:rPr>
    </w:pPr>
    <w:r>
      <w:rPr>
        <w:rFonts w:ascii="Century Gothic" w:hAnsi="Century Gothic" w:cs="Arial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687E18" wp14:editId="4BBA278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" name="MSIPCM3e3147aab48ee7baf162ac0b" descr="{&quot;HashCode&quot;:519172731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22D" w:rsidRPr="00CD122D" w:rsidRDefault="00CD122D" w:rsidP="00CD122D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CD122D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Serco Restricted and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87E18" id="_x0000_t202" coordsize="21600,21600" o:spt="202" path="m,l,21600r21600,l21600,xe">
              <v:stroke joinstyle="miter"/>
              <v:path gradientshapeok="t" o:connecttype="rect"/>
            </v:shapetype>
            <v:shape id="MSIPCM3e3147aab48ee7baf162ac0b" o:spid="_x0000_s1026" type="#_x0000_t202" alt="{&quot;HashCode&quot;:519172731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" o:allowincell="f" filled="f" stroked="f" strokeweight=".5pt">
              <v:textbox inset=",0,,0">
                <w:txbxContent>
                  <w:p w:rsidR="00CD122D" w:rsidRPr="00CD122D" w:rsidRDefault="00CD122D" w:rsidP="00CD122D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CD122D">
                      <w:rPr>
                        <w:rFonts w:ascii="Calibri" w:hAnsi="Calibri" w:cs="Calibri"/>
                        <w:color w:val="A80000"/>
                        <w:sz w:val="20"/>
                      </w:rPr>
                      <w:t>Serco Restricted and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8FE">
      <w:rPr>
        <w:rFonts w:ascii="Century Gothic" w:hAnsi="Century Gothic" w:cs="Arial"/>
        <w:b/>
        <w:sz w:val="28"/>
        <w:szCs w:val="2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410A"/>
    <w:multiLevelType w:val="hybridMultilevel"/>
    <w:tmpl w:val="AA20F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FE"/>
    <w:rsid w:val="00085B47"/>
    <w:rsid w:val="000F3AB4"/>
    <w:rsid w:val="002308FE"/>
    <w:rsid w:val="003341DD"/>
    <w:rsid w:val="003405FA"/>
    <w:rsid w:val="004D20A4"/>
    <w:rsid w:val="00540A02"/>
    <w:rsid w:val="00552BA9"/>
    <w:rsid w:val="0063630C"/>
    <w:rsid w:val="006D2B8E"/>
    <w:rsid w:val="0079725D"/>
    <w:rsid w:val="007D2C5A"/>
    <w:rsid w:val="0080606B"/>
    <w:rsid w:val="008063E8"/>
    <w:rsid w:val="009B1624"/>
    <w:rsid w:val="009E3FAC"/>
    <w:rsid w:val="00BC35F2"/>
    <w:rsid w:val="00BC4608"/>
    <w:rsid w:val="00CD122D"/>
    <w:rsid w:val="00CD718B"/>
    <w:rsid w:val="00D501A4"/>
    <w:rsid w:val="00DB3EF0"/>
    <w:rsid w:val="00E7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2E180"/>
  <w15:docId w15:val="{8AB89C2D-2F09-4E76-8338-7544CFA5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F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230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2308FE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1">
    <w:name w:val="Header Char1"/>
    <w:link w:val="Header"/>
    <w:uiPriority w:val="99"/>
    <w:semiHidden/>
    <w:locked/>
    <w:rsid w:val="002308FE"/>
    <w:rPr>
      <w:rFonts w:ascii="Cambria" w:eastAsia="Times New Roman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rsid w:val="00230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2308FE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oterChar1">
    <w:name w:val="Footer Char1"/>
    <w:link w:val="Footer"/>
    <w:uiPriority w:val="99"/>
    <w:locked/>
    <w:rsid w:val="002308FE"/>
    <w:rPr>
      <w:rFonts w:ascii="Cambria" w:eastAsia="Times New Roman" w:hAnsi="Cambria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rsid w:val="002308FE"/>
    <w:rPr>
      <w:rFonts w:cs="Times New Roman"/>
    </w:rPr>
  </w:style>
  <w:style w:type="paragraph" w:styleId="ListParagraph">
    <w:name w:val="List Paragraph"/>
    <w:basedOn w:val="Normal"/>
    <w:uiPriority w:val="34"/>
    <w:qFormat/>
    <w:rsid w:val="002308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Bees, Andrew  [HMPS]</dc:creator>
  <cp:lastModifiedBy>MORRISON, Andy (BRISDOC HEALTHCARE SERVICES OOH)</cp:lastModifiedBy>
  <cp:revision>1</cp:revision>
  <dcterms:created xsi:type="dcterms:W3CDTF">2022-11-28T20:16:00Z</dcterms:created>
  <dcterms:modified xsi:type="dcterms:W3CDTF">2022-11-28T20:16:00Z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9f18e-0cc9-4199-9b15-441e6d91bd7e_Enabled">
    <vt:lpwstr>True</vt:lpwstr>
  </property>
  <property fmtid="{D5CDD505-2E9C-101B-9397-08002B2CF9AE}" pid="3" name="MSIP_Label_0cf9f18e-0cc9-4199-9b15-441e6d91bd7e_SiteId">
    <vt:lpwstr>f93616dd-45a6-40c8-9e29-adab2fb5f25c</vt:lpwstr>
  </property>
  <property fmtid="{D5CDD505-2E9C-101B-9397-08002B2CF9AE}" pid="4" name="MSIP_Label_0cf9f18e-0cc9-4199-9b15-441e6d91bd7e_Owner">
    <vt:lpwstr>sstirland@ASHFIELD-X.LOC</vt:lpwstr>
  </property>
  <property fmtid="{D5CDD505-2E9C-101B-9397-08002B2CF9AE}" pid="5" name="MSIP_Label_0cf9f18e-0cc9-4199-9b15-441e6d91bd7e_SetDate">
    <vt:lpwstr>2020-04-30T08:01:53.3618365Z</vt:lpwstr>
  </property>
  <property fmtid="{D5CDD505-2E9C-101B-9397-08002B2CF9AE}" pid="6" name="MSIP_Label_0cf9f18e-0cc9-4199-9b15-441e6d91bd7e_Name">
    <vt:lpwstr>Serco Restricted and Sensitive</vt:lpwstr>
  </property>
  <property fmtid="{D5CDD505-2E9C-101B-9397-08002B2CF9AE}" pid="7" name="MSIP_Label_0cf9f18e-0cc9-4199-9b15-441e6d91bd7e_Application">
    <vt:lpwstr>Microsoft Azure Information Protection</vt:lpwstr>
  </property>
  <property fmtid="{D5CDD505-2E9C-101B-9397-08002B2CF9AE}" pid="8" name="MSIP_Label_0cf9f18e-0cc9-4199-9b15-441e6d91bd7e_ActionId">
    <vt:lpwstr>8b5e2846-0fb7-412c-98b0-e64ddca8fb98</vt:lpwstr>
  </property>
  <property fmtid="{D5CDD505-2E9C-101B-9397-08002B2CF9AE}" pid="9" name="MSIP_Label_0cf9f18e-0cc9-4199-9b15-441e6d91bd7e_Extended_MSFT_Method">
    <vt:lpwstr>Manual</vt:lpwstr>
  </property>
  <property fmtid="{D5CDD505-2E9C-101B-9397-08002B2CF9AE}" pid="10" name="Sensitivity">
    <vt:lpwstr>Serco Restricted and Sensitive</vt:lpwstr>
  </property>
</Properties>
</file>